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ATAS/893/2014 vom 7. August 2014</w:t>
      </w:r>
    </w:p>
    <w:p>
      <w:r>
        <w:t>GE Cour de justice, 2014-08-07, FR</w:t>
      </w:r>
    </w:p>
    <w:p>
      <w:r>
        <w:rPr>
          <w:b/>
        </w:rPr>
        <w:t xml:space="preserve">Quelle: </w:t>
      </w:r>
      <w:r>
        <w:t>https://mcp.opencaselaw.ch/entscheid/ge_gerichte_ATAS_893_2014</w:t>
      </w:r>
    </w:p>
    <w:p>
      <w:r>
        <w:t>FR: GE_GERICHTE ATAS/893/2014 du 7 août 2014</w:t>
      </w:r>
    </w:p>
    <w:p>
      <w:r>
        <w:t>IT: GE_GERICHTE ATAS/893/2014 del 7 agosto 2014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de la décision sur opposition rendue par l’intimé le 21 juillet 2014, annulant et remplaçant celle du 4 juin 2014.</w:t>
      </w:r>
    </w:p>
    <w:p>
      <w:r>
        <w:rPr>
          <w:b/>
        </w:rPr>
        <w:t>E. 2</w:t>
      </w:r>
    </w:p>
    <w:p>
      <w:r>
        <w:t>Constate que le recours est devenu sans objet.</w:t>
      </w:r>
    </w:p>
    <w:p>
      <w:r>
        <w:rPr>
          <w:b/>
        </w:rPr>
        <w:t>E. 3</w:t>
      </w:r>
    </w:p>
    <w:p>
      <w:r>
        <w:t>Raye la cause du rôle.</w:t>
      </w:r>
    </w:p>
    <w:p>
      <w:r>
        <w:t>La greffière</w:t>
      </w:r>
    </w:p>
    <w:p>
      <w:r>
        <w:t>Marie-Catherine SECHAUD</w:t>
      </w:r>
    </w:p>
    <w:p>
      <w:r>
        <w:t>La présidente</w:t>
      </w:r>
    </w:p>
    <w:p>
      <w:r>
        <w:t>Karine STECK</w:t>
      </w:r>
    </w:p>
    <w:p>
      <w:r>
        <w:t>Une copie conforme du présent arrêt est notifiée aux parties par le greffe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