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ATAS/893/2008 vom 18. Dezember 2007</w:t>
      </w:r>
    </w:p>
    <w:p>
      <w:r>
        <w:t>GE Cour de justice, 2007-12-18, FR</w:t>
      </w:r>
    </w:p>
    <w:p>
      <w:r>
        <w:rPr>
          <w:b/>
        </w:rPr>
        <w:t xml:space="preserve">Quelle: </w:t>
      </w:r>
      <w:r>
        <w:t>https://mcp.opencaselaw.ch/entscheid/ge_gerichte_ATAS_893_2008</w:t>
      </w:r>
    </w:p>
    <w:p>
      <w:r>
        <w:t>FR: GE_GERICHTE ATAS/893/2008 du 18 décembre 2007</w:t>
      </w:r>
    </w:p>
    <w:p>
      <w:r>
        <w:t>IT: GE_GERICHTE ATAS/893/2008 del 18 dicembre 2007</w:t>
      </w:r>
    </w:p>
    <w:p>
      <w:pPr>
        <w:pStyle w:val="Heading2"/>
      </w:pPr>
      <w:r>
        <w:t>Erwägungen</w:t>
      </w:r>
    </w:p>
    <w:p>
      <w:r>
        <w:rPr>
          <w:b/>
        </w:rPr>
        <w:t>E. 1</w:t>
      </w:r>
    </w:p>
    <w:p>
      <w:r>
        <w:t>Ordonne une expertise rhumatologique, l’expert ayant pour mission d’examiner et d’entendre Madame P__________,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pour chaque diagnostic posé ses conséquences sur la capacité de travail de la recourante, en pour-cent</w:t>
      </w:r>
    </w:p>
    <w:p>
      <w:r>
        <w:rPr>
          <w:b/>
        </w:rPr>
        <w:t>E. 6</w:t>
      </w:r>
    </w:p>
    <w:p>
      <w:r>
        <w:t>Dater la survenance de l’incapacité de travail durable, le cas échéant, et indiquer son évolution jusqu'à ce jour.</w:t>
      </w:r>
    </w:p>
    <w:p>
      <w:r>
        <w:rPr>
          <w:b/>
        </w:rPr>
        <w:t>E. 7</w:t>
      </w:r>
    </w:p>
    <w:p>
      <w:r>
        <w:t>Dans quelle mesure l'activité professionnelle d'infirmière à domicile est-elle raisonnablement exigible de la recourante, et dans ce cas à quel taux d'activité ?</w:t>
      </w:r>
    </w:p>
    <w:p>
      <w:r>
        <w:t>- 5/5-</w:t>
      </w:r>
    </w:p>
    <w:p>
      <w:r>
        <w:t>A/295/2008</w:t>
      </w:r>
    </w:p>
    <w:p>
      <w:r>
        <w:rPr>
          <w:b/>
        </w:rPr>
        <w:t>E. 8</w:t>
      </w:r>
    </w:p>
    <w:p>
      <w:r>
        <w:t>Quels sont les limitations fonctionnelles de la recourante dans cette activité ?</w:t>
      </w:r>
    </w:p>
    <w:p>
      <w:r>
        <w:rPr>
          <w:b/>
        </w:rPr>
        <w:t>E. 9</w:t>
      </w:r>
    </w:p>
    <w:p>
      <w:r>
        <w:t>Dans quelle mesure une activité lucrative adaptée est-elle raisonnablement exigible de la recourante, et dans ce cas dans quel domaine et à quel taux d'activité ?</w:t>
      </w:r>
    </w:p>
    <w:p>
      <w:r>
        <w:rPr>
          <w:b/>
        </w:rPr>
        <w:t>E. 10</w:t>
      </w:r>
    </w:p>
    <w:p>
      <w:r>
        <w:t>Pronostic</w:t>
      </w:r>
    </w:p>
    <w:p>
      <w:r>
        <w:rPr>
          <w:b/>
        </w:rPr>
        <w:t>E. 11</w:t>
      </w:r>
    </w:p>
    <w:p>
      <w:r>
        <w:t>Toute remarque utile et proposition de l’expert 3. Commet à ces fins le Dr A__________, rhumatologue, … à Genève ; 4. Fixe aux parties un délai de 10 jours dès réception de la présente pour une éventuelle récusation de l’expert nommé ; 5. Invite l’expert à déposer à sa meilleure convenance un rapport en deux exemplaires au Tribunal de céans ; 6. Réserve le fond.</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