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ATAS/892/2025 vom 20. November 2025</w:t>
      </w:r>
    </w:p>
    <w:p>
      <w:r>
        <w:t>GE Cour de justice, 2025-11-20, FR</w:t>
      </w:r>
    </w:p>
    <w:p>
      <w:r>
        <w:rPr>
          <w:b/>
        </w:rPr>
        <w:t xml:space="preserve">Quelle: </w:t>
      </w:r>
      <w:r>
        <w:t>https://mcp.opencaselaw.ch/entscheid/ge_gerichte_ATAS_892_2025</w:t>
      </w:r>
    </w:p>
    <w:p>
      <w:r>
        <w:t>FR: GE_GERICHTE ATAS/892/2025 du 20 novembre 2025</w:t>
      </w:r>
    </w:p>
    <w:p>
      <w:r>
        <w:t>IT: GE_GERICHTE ATAS/892/2025 del 20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w:t>
      </w:r>
    </w:p>
    <w:p>
      <w:r>
        <w:t>A/3617/2024 - 8/29 -</w:t>
      </w:r>
    </w:p>
    <w:p>
      <w:r>
        <w:rPr>
          <w:b/>
        </w:rPr>
        <w:t>E. 1.3</w:t>
      </w:r>
    </w:p>
    <w:p>
      <w:r>
        <w:t>Le délai de recours est de 30 jours (art. 56 LPGA ; art. 62 al. 1 de la loi sur la procédure administrative du 12 septembre 1985 [LPA - E 5 10]). Interjeté dans la forme et le délai prévus par la loi,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2.2</w:t>
      </w:r>
    </w:p>
    <w:p>
      <w:r>
        <w:t>En l’occurrence, un éventuel droit à une rente d’invalidité naîtrait au plus tôt en octobre 2023, soit six mois après le dépôt de la demande du 25 avril 2023 (cf. art. 29 al. 1 LAI), de sorte que les dispositions légales applicables seront citées dans leur nouvelle teneur.</w:t>
      </w:r>
    </w:p>
    <w:p>
      <w:r>
        <w:rPr>
          <w:b/>
        </w:rPr>
        <w:t>E. 3</w:t>
      </w:r>
    </w:p>
    <w:p>
      <w:r>
        <w:t>À titre liminaire, il convient de circonscrire l’objet du litige.</w:t>
      </w:r>
    </w:p>
    <w:p>
      <w:r>
        <w:rPr>
          <w:b/>
        </w:rPr>
        <w:t>E. 3.1</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3.2</w:t>
      </w:r>
    </w:p>
    <w:p>
      <w:r>
        <w:t>En l’espèce, la décision querellée a été rendue en date du 24 septembre 2024, de sorte que l’état de santé de la recourante et ses répercussions sur sa capacité de travail doivent être examinés à cette date. Or, la nouvelle pièce médicale transmise par l’intimé à la Cour de céans en date du 10 mars 2025, à savoir le rapport du Dr I______ du 5 mars 2025, atteste d’un diagnostic de carcinome invasif NST G3 du quadran inféro interne du sein droit posé à la suite d’examens effectués entre octobre et décembre 2024. Cette nouvelle pièce fait ainsi état d’une aggravation de l’état de santé de la recourante postérieure à la décision litigieuse,</w:t>
      </w:r>
    </w:p>
    <w:p>
      <w:r>
        <w:t>A/3617/2024 - 9/29 - de sorte qu’elle ne sera pas prise en compte par la Cour de céans dans le cadre de la présente procédure. Il est loisible en revanche à l’assurée de déposer une nouvelle demande de prestations auprès de l’OAI pour aggravation de son état de santé. Le litige porte donc sur le bien-fondé de la décision du 24 septembre 2024, par laquelle l’intimé a nié le droit de la recourante à une rente en raison d’un degré d’invalidité insuffisant pour ouvrir le droit à une telle prestation à l’époque.</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w:t>
      </w:r>
    </w:p>
    <w:p>
      <w:r>
        <w:rPr>
          <w:b/>
        </w:rPr>
        <w:t>E. 4.2</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4.3</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4.4</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w:t>
      </w:r>
    </w:p>
    <w:p>
      <w:r>
        <w:t>A/3617/2024 - 11/29 - d’indicateurs, appliqué en fonction des circonstances du cas particulier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(ATF 141 V 281 consid. 4.4 et les références).</w:t>
      </w:r>
    </w:p>
    <w:p>
      <w:r>
        <w:rPr>
          <w:b/>
        </w:rPr>
        <w:t>E. 4.5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w:t>
      </w:r>
    </w:p>
    <w:p>
      <w:r>
        <w:t>A/3617/2024 - 12/29 -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4.6</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4.7</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4.8</w:t>
      </w:r>
    </w:p>
    <w:p>
      <w:r>
        <w:t>S'agissant de la valeur probante des rapports du SMR selon l'art. 49 al. 2 RAI, le Tribunal fédéral considère qu'elle est comparable à celle des expertises médicales externes, lorsque ces rapports satisfont aux exigences développées par la jurisprudence en matière d'expertise médicale. Toutefois, les offices AI devraient toujours ordonner des expertises externes lorsque le caractère interdisciplinaire d'une situation médicale problématique l'exige, lorsque le SMR ne dispose pas des ressources professionnelles nécessaires pour pouvoir répondre</w:t>
      </w:r>
    </w:p>
    <w:p>
      <w:r>
        <w:t>A/3617/2024 - 13/29 - à une question qui se pose ou lorsqu'il existe une divergence entre le rapport du SMR et la teneur générale du dossier médical, divergence qui ne reposerait pas sur des prémisses différentes dues à la conception bio-psycho-sociale de la maladie, répandue en médecine et qui est plus large que la notion d'atteinte à la santé en droit des assurances sociales (cf. ATF 137 V 210 consid. 1.2.1 ; arrêt du Tribunal fédéral 8C_697/2023 du 17 septembre 2024 consid. 3.3.2 et la référence).</w:t>
      </w:r>
    </w:p>
    <w:p>
      <w:r>
        <w:rPr>
          <w:b/>
        </w:rPr>
        <w:t>E. 4.9</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4.10</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5.</w:t>
      </w:r>
    </w:p>
    <w:p>
      <w:r>
        <w:t>5.1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w:t>
      </w:r>
    </w:p>
    <w:p>
      <w:r>
        <w:t>A/3617/2024 - 14/29 -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 5.2 5.2.1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w:t>
      </w:r>
    </w:p>
    <w:p>
      <w:r>
        <w:t>A/3617/2024 - 15/29 -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Selon l’art. 26 al. 1 1re phrase RAI, le revenu sans invalidité (art. 16 LPGA) est déterminé en fonction du dernier revenu de l’activité lucrative effectivement réalisé avant la survenance de l’invalidité. Si l’assuré ne réalise pas de revenu déterminant, le revenu avec invalidité est déterminé en fonction des valeurs statistiques visées à l’art. 25 al. 3 RAI (art. 26bis al. 2 RAI).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w:t>
      </w:r>
    </w:p>
    <w:p>
      <w:r>
        <w:t>A/3617/2024 - 16/29 - contraignantes (cf. arrêts du Tribunal fédéral 9C_603/2015 du 25 avril 2016 consid. 8.1 ; 9C_242/2012 du 13 août 2012 consid. 3). 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RAI de 50% ou moins, une déduction de 20% est opérée. Aucune déduction supplémentaire n’est possible. Pour les droits à la rente qui prennent naissance entre le 1er janvier 2022 et le 31 décembre 2023 – de même que pour les droits à la rente qui ont dû être adaptés entre le 1er janvier 2022 et le 31 décembre 2023 en raison d'une révision ou d'un octroi échelonné avec effet rétroactif –, il convient de tenir compte de l'ATF 150 V 410. Cela signifie que lors de la détermination du revenu avec invalidité en se fondant sur des données statistiques, il faut également examiner la pertinence de l'application d'un éventuel abattement dû à l'atteinte à la santé conformément à la jurisprudence en vigueur avant le 1er janvier 2022, en sus de l'abattement de 10% prévu pour le travail à temps partiel par l'art. 26bis al. 3 RAI, dans sa teneur en vigueur du 1er janvier 2022 au 31 décembre 2023 (arrêt du Tribunal fédéral 9C_111/2025 du 29 avril 2025 consid. 5.1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w:t>
      </w:r>
    </w:p>
    <w:p>
      <w:r>
        <w:t>A/3617/2024 - 17/29 - (ATF 148 V 174 consid. 6.3 et les références ; 146 V 16 consid. 4.1 et ss. et les références). L'étendue de l'abattement justifié dans un cas concret relève du pouvoir d'appréciation (ATF 132 V 393 consid. 3.3). 5.2.2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145 V 2 consid. 5.3.1, arrêt du Tribunal fédéral 8C_497/2024 du 8 avril 2025 consid. 5.1.1).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ainsi que pour un assuré âgé de 60 ans au moment de la décision litigieuse (arrêt du Tribunal fédéral 9C_651/2008 du 9 octobre 2009 consid. 6.2.2.2). 5.2.3 Selon l’art. 28a al. 2 LAI, dans sa teneur en vigueur dès le 1er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Selon l’art. 28a al. 3 LAI, dans sa teneur en vigueur dès le 1er janvier 2022,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Selon l’art. 27bis al. 3 RAI, le taux d’invalidité en lien avec les travaux habituels est calculé : en déterminant le pourcentage que représentent les limitations dans les travaux habituels par rapport à la situation dans laquelle l’assuré serait sans</w:t>
      </w:r>
    </w:p>
    <w:p>
      <w:r>
        <w:t>A/3617/2024 - 18/29 - invalidité (let. a) ; en pondérant le pourcentage déterminé à la let. a en fonction de la différence entre le taux d’occupation visé à l’al. 2 let. c et une activité lucrative exercée à plein temps (let. b). Selon l’art. 27bis al. 1 RAI, le taux d’invalidité des personnes qui exercent une activité lucrative à temps partiel est déterminé par l’addition des taux suivants : le taux d’invalidité en lien avec l’activité lucrative (let. a) ; le taux d’invalidité en lien avec les travaux habituels (let. b). Selon l’art. 27bis al. 2 RAI, le taux d’invalidité en lien avec l’activité lucrative est déterminé : en extrapolant le revenu sans invalidité pour une activité lucrative correspondant à un taux d’occupation de 100% (let. a) ; en calculant le revenu avec invalidité sur la base d’une activité lucrative correspondant à un taux d’occupation de 100% et en l’adaptant selon la capacité fonctionnelle déterminante (let. b) ; en pondérant la perte de gain exprimée en pourcentage en fonction du taux d’occupation qu’aurait l’assuré s’il n’était pas invalide (let. c). 5.2.4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w:t>
      </w:r>
    </w:p>
    <w:p>
      <w:r>
        <w:t>A/3617/2024 - 19/29 -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in VSI 2003 p. 221 ; arrêts du Tribunal fédéral 9C_625/2017 du 26 mars 2018 consid. 6.2 ; I.733/06 du 16 juillet 2007). 5.2.5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w:t>
      </w:r>
    </w:p>
    <w:p>
      <w:r>
        <w:t>A/3617/2024 - 20/29 - cadre de son obligation de réduire le dommage (art. 7 al. 1 LAI), la personne qui requiert des prestations de l'assurance-invalidité doit par conséquent se laisser opposer le fait que des tiers – par exemple son conjoint (art. 159 al. 2 et 3 du Code civil suisse du 10 décembre 1907 - CC - RS 210) ou ses enfants (art. 272 CC) – sont censés remplir les devoirs qui leur incombent en vertu du droit de la famille (arrêt du Tribunal fédéral 9C_248/2022 du 25 avril 2023 consid. 5.3.2 et les références in SVR 2023 IV n. 46 p. 156). Le Tribunal fédéral a confirmé qu'il n'y a pas de motif de revenir sur le principe de l'obligation de diminuer le dommage tel que dégagé par la jurisprudence (arrêt du Tribunal fédéral 9C_248/2022 du 25 avril 2023 consid. 5.3 et les références). Pour satisfaire à l'obligation de réduire le dommage (ATF 141 V 642 consid. 4.3.2 ; 140 V 267 consid. 5.2.1 ; 133 V 504 consid. 4.2),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I.308/04 du</w:t>
      </w:r>
    </w:p>
    <w:p>
      <w:r>
        <w:rPr>
          <w:b/>
        </w:rPr>
        <w:t>E. 9</w:t>
      </w:r>
    </w:p>
    <w:p>
      <w:r>
        <w:t>avril 2001 consid. 1).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w:t>
      </w:r>
    </w:p>
    <w:p>
      <w:r>
        <w:t>A/3617/2024 - 10/29 -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14</w:t>
      </w:r>
    </w:p>
    <w:p>
      <w:r>
        <w:t>janvier 2005 consid. 6.2.1). 5.3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w:t>
      </w:r>
    </w:p>
    <w:p>
      <w:r>
        <w:t>A/3617/2024 - 21/29 -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6.</w:t>
      </w:r>
    </w:p>
    <w:p>
      <w:r>
        <w:t>6.1 En l’espèce, l’intimé a reconnu à la recourante un statut mixte, comprenant une part professionnelle de 60% et une part ménagère de 40%. Sur la base de l’avis du SMR du 22 avril 2024, lui-même fondé sur le rapport d’expertise du</w:t>
      </w:r>
    </w:p>
    <w:p>
      <w:r>
        <w:rPr>
          <w:b/>
        </w:rPr>
        <w:t>E. 15</w:t>
      </w:r>
    </w:p>
    <w:p>
      <w:r>
        <w:t>avril 2024, il a admis une capacité de travail réduite à 50% dans une activité adaptée dès janvier 2022. L’intimé a en outre conclu, en se fondant sur les conclusions du rapport d’enquête ménagère du 18 juillet 2024, à l’absence d’empêchement dans l’accomplissement des travaux habituels, compte tenu de l’aide exigible du conjoint et de la fille de l’assurée. La recourante ne remet en cause, ni le statut mixte, ni la pondération des parts professionnelle et ménagère, mais conteste, de manière générale, l’appréciation de son degré d’invalidité, faisant valoir, en substance, que celui-ci est de 50% et lui ouvrirait donc droit à une demi-rente d’invalidité. Il convient donc d’examiner la valeur probante du rapport d’expertise et du rapport d’enquête ménagère et de confronter ceux-ci aux autres éléments figurant au dossier. 6.2 S’agissant du rapport d’expertise psychiatrique du 15 avril 2024, la Cour de céans constate que, sur le plan formel, celui-ci répond aux réquisits jurisprudentiels en matière de valeur probante. En effet, l’expert a pris connaissance du dossier complet de la recourante, présenté une anamnèse détaillée et retranscrit précisément les informations livrées par l’intéressée s’agissant, particulièrement, de ses plaintes et de ses habitudes (description de la journée- type) et des traitements suivis. L’expert a retenu le diagnostic incapacitant de trouble dépressif récurrent moyen avec syndrome somatique (code F33.11 CIM-10), trouble anxieux généralisé (code F41.1 CIM-10) et trouble douloureux somatoforme persistant (code F45.4 CIM-10). Il a en outre effectué l’analyse des indicateurs jurisprudentiels pertinents, relevant, s’agissant du complexe de la personnalité, que l’assurée avait pu se former et travailler par le passé sans difficultés, malgré une certaine instabilité professionnelle, un trouble de la personnalité, l’état de stress post-traumatique survenu en 2006 et le trouble de l’attention avec hyperactivité présent depuis l’enfance. Quant au contexte social, l’expert a constaté l’existence d’un certain isolement social, pas total, depuis janvier 2022. Sous l’angle de la cohérence, il a observé une discordance entre une capacité de travail nulle selon le dossier</w:t>
      </w:r>
    </w:p>
    <w:p>
      <w:r>
        <w:t>A/3617/2024 - 22/29 - assécurologique et la description de la journée-type d’une assurée gérant son quotidien – en dehors de l’administratif complexe et des activités lourdes physiquement –, bien que de manière ralentie. Elle faisait le ménage, les courses, les repas, gérait l’administratif léger, se déplaçait au moyen des transports en commun, passait de bons moments en famille, se promenait, partait en vacances, etc. (cf. rapport d’expertise du 15 avril 2024, pp. 29-30). L’expert a objectivé une bonne cohérence entre la plupart des plaintes subjectives et les constats objectifs, avec toutefois un certain décalage, s’inscrivant dans un contexte de trouble de la personnalité mixte émotionnellement labile et anxieuse avec des bénéfices primaires et secondaires, mais sans exagération volontaire des plaintes (cf. rapport d’expertise du 15 avril 2024, p. 44). S’agissant de l’évaluation des capacités, des ressources disponibles et des difficultés, l’expert a procédé à leur appréciation en s’appuyant sur le canevas Mini-CIF-APP [outil d’hétéroévaluation utilisé pour mesurer les aptitudes psychiques] ; il a constaté des limitations psychiatriques significative modérées (ralentissement psychomoteur modéré, troubles de la concentration modérés, anxiété généralisée modérée et isolement social partiel). La recourante a de bonnes ressources et gère son quotidien – en dehors des activités lourdes physiquement –, malgré un ralentissement. Dans ce contexte, en présence de limitations fonctionnelles modérées et objectivables selon l’anamnèse, l’examen clinique et la description de la journée-type, l’indice de gravité fonctionnelle est partiellement présent d’un point de vue psychiatrique depuis janvier 2022 (cf. rapport d’expertise du 15 avril 2024, p. 43). Enfin, l’expert a indiqué que les comorbidités psychiatriques, à savoir les troubles psychiatriques retenus à titre de diagnostic incapacitant, entraînaient des limitations fonctionnelles psychiatriques modérées objectivables (cf. rapport d’expertise du 15 avril 2024, p. 44). En conclusion, les indices jurisprudentiels de gravité ont été jugés remplis depuis janvier 2022 pour une capacité de travail de 50% sans baisse de rendement (cf. rapport d’expertise du 15 avril 2024, p. 45). Au vu de ce qui précède, force est de constater que l'expertise psychiatrique a été établie conformément à la jurisprudence applicable. Elle doit donc se voir reconnaître pleine valeur probante, d’autant que la recourante ne fait valoir aucun grief concret, se limitant à soutenir que « les éléments au dossier ne [permettent] aucunement de retenir la moindre capacité de travail » (cf. mémoire de recours du 28 octobre 2024, p. 7), substituant ainsi sa propre appréciation à celle de l’expert, sans argumenter plus avant. Au surplus, le rapport du 25 septembre 2023 du Dr E______ n’est pas non plus de nature à remettre en cause la valeur probante de l’expertise susvisée, dès lors que les allégations du psychiatre traitant – qui indique que sa patiente reste cloîtrée à son domicile, avec une peur extrême de sortir et des conduites d’évitements massifs et qu’elle s’occupe à peine de son ménage (cf. rapport du 25 septembre 2023, p. 2 ; pièce n°12 - recourante) sont en contradiction manifeste avec la description de la journée-type faite par la recourante elle-même au</w:t>
      </w:r>
    </w:p>
    <w:p>
      <w:r>
        <w:t>A/3617/2024 - 23/29 - Dr G______. On relèvera également que le Dr E______ a retenu les diagnostics de syndrome de stress post-traumatique, trouble hyperkinétique avec déficit de l’attention (code F90.0), trouble de l’anxiété généralisé, agoraphobie sévère et crise de panique et dépression majeure à évolution chronique, sans procéder à une analyse des critères jurisprudentiels requis. Ce spécialiste n’a pas non plus fait état d’éléments objectivement vérifiables ayant été ignorés par l’expert et suffisamment pertinents pour remettre en cause les conclusions de ce dernier. Pour tous ces motifs, l’appréciation du Dr E______, selon laquelle la recourante serait en incapacité totale de travailler de façon définitive, ne saurait être considérée comme probante, étant rappelé qu’en cas de divergence d’opinion entre un expert et un médecin traitant, il n'est pas, de manière générale, nécessaire de mettre en œuvre une nouvelle expertise et qu’en raison de la divergence consacrée par la jurisprudence entre un mandat thérapeutique et un mandat d'expertise, on ne saurait remettre en cause une expertise ordonnée par l'administration ou le juge et procéder à de nouvelles investigations du seul fait qu'un médecin traitant a une opinion contradictoire (cf. arrêt du Tribunal fédéral 9C_369/2008 du 5 mars 2009 consid. 2.2). Par conséquent, l'évaluation de la capacité de travail de la recourante dans son activité habituelle et dans une activité adaptée à ses limitations fonctionnelles, telle que retenue par l'intimé, doit être confirmée. 6.3 Concernant les empêchements dans les travaux ménagers, la Cour de céans relève que le rapport d’enquête ménagère du 18 juillet 2024 a été réalisé au domicile de la recourante par une personne qualifiée qui a fait état des déclarations de l’intéressée quant à sa situation et à son organisation familiale, tout en prenant en considération les conditions de logement. L’enquêtrice a en particulier noté que la recourante vit avec sa fille de 23 ans, qui poursuit une formation de CFC d’employée de commerce, et son époux de 40 ans qui travaille principalement de nuit comme agent de sécurité à 90% et se lève à 10h00 pour faire du sport. Elle a en outre rapporté que la recourante prépare les repas en alternance avec sa fille et son époux, mais qu’elle ne peut plus porter les casseroles, ni sortir la plaque du four, car cela lui provoque des blocages dans le dos. Elle fait tout de même les provisions, malgré une fatigue qui la ralentit (cf. rapport d’enquête, p. 5). L’intéressée peut ranger la vaisselle et la cuisine, ainsi que vider le lave-vaisselle, malgré une fatigue et des douleurs, alternant l’usage de ses mains pour passer l’aspirateur et la serpillère. Ces gestes sont effectués au ralenti (cf. rapport d’enquête, p. 6). La recourante effectue les tâches ménagères légères physiquement (nettoyage du lavabo et des toilettes, passer l’aspirateur et la serpillère) en mettant plus de temps et en les alternant sur la semaine. Certains travaux lourds sont effectués par son époux (nettoyer la baignoire) et sa fille l’aide à faire les lits (cf. rapport d’enquête, p. 7). Les travaux saisonniers sont réalisés par l’époux de la recourante (suspendre les rideaux, nettoyer les vitres, etc.), l’intéressée ne pouvant pas monter sur un escabeau ou</w:t>
      </w:r>
    </w:p>
    <w:p>
      <w:r>
        <w:t>A/3617/2024 - 24/29 - une chaise (peur de tomber) ni effectuer des mouvements circulaires avec ses bras (cf. rapport d’enquête, p. 8). La recourante fait des petites courses alimentaires quotidiennes et son époux se rend régulièrement en France pour faire les courses lourdes (la lessive, les boissons, etc.). L’intéressée fait des commandes en ligne pour les habits ou les diverses affaires ménagères et gère l’administratif du couple avec l’aide de sa fille (cf. rapport d’enquête, p. 9). Enfin, la recourante explique qu’elle s’occupe des lessives de la famille, faisant toutefois des demi-charges, car elle rencontre des difficultés à sortir le linge du tambour, pousse la corbeille de linge avec les pieds et rencontre des difficultés avec les pièces lourdes. Elle ne repasse plus son linge car le fer à repasser est trop lourd et les mouvements lui provoquent des douleurs lombaires et dans les bras. Par conséquent, elle plie le linge et fait des tas d’habits pour chaque membre de la famille et chacun range ses affaires (cf. rapport d’enquête, p. 10). L’enquêtrice a ainsi soigneusement rapporté les indications données par la recourante concernant les tâches qu’elle effectue seule ou avec l’aide de son époux et de sa fille. Les conclusions du rapport d’enquête ménagère du 18 juillet 2024 reposent donc sur un examen concret des circonstances du cas d’espèce. Sur le plan matériel, l’enquêtrice a estimé que, pour une famille telle que celle de la recourante, le nombre d’heures nécessaires à la tenue du ménage, par semaine, est de 25.12 heures (soit 25 heures et 7 minutes), sans toutefois indiquer sur quelle base elle s’est fondée pour retenir ce chiffre. La Cour de céans déplore ce défaut d’explication et se réfère, dans le présent cas et par hypothèse, au tableau intitulé « Travail domestique et familial : mère en couple élevant 1 enfant » (référence : T 03.06.02.07), publié en 2021 par l’office fédéral de la statistique (OFS), à teneur duquel, pour une mère, en couple et élevant un enfant dont l’âge est compris entre 18 et 24 ans, le nombre total d’heures par semaine consacré au travail domestique familial est de 30.6 heures (ligne « total ») ; il diminue à 29.4 heures pour une mère dans la même situation mais active entre 50% et 89%. Or, même en déduisant le temps consacré aux « animaux, plantes et jardinage », qui n’a pas été retenu par l’enquêtrice, le nombre d’heures diminue de, respectivement, 3.1 heures dans le premier cas (soit un total de 27.5 heures par semaine) et de 2.9 heures dans le second cas (soit un total de 26.5 heures par semaine), ce qui ne correspond pas au nombre total hebdomadaire de 25.12 heures retenu par l’enquêtrice. L’enquêtrice est ensuite parvenue à la conclusion que l’empêchement avant l’obligation de réduire le dommage correspondait à 14%, correspondant à 3.31h par semaine et l’exigibilité de l’entourage à 14% également, de sorte que l’empêchement après l’obligation de réduire le dommage était nul (0%). Dès lors, la durée hebdomadaire pour la tenue du ménage à charge de l’entourage de la recourante (son époux et sa fille de 23 ans) représente une durée de 30 minutes par jour (3.5 heures x 60 minutes = 210 minutes / 7 jours = 30 minutes) à charge de ces derniers.</w:t>
      </w:r>
    </w:p>
    <w:p>
      <w:r>
        <w:t>A/3617/2024 - 25/29 - En tout état de cause, même en retenant, en application des statistiques de l’OFS susmentionnées, que le nombre total d’heures par semaine consacré au travail domestique familial est de 30.6 heures – et non de 25.12 heures –, cela équivaut à une durée hebdomadaire à charge de l’entourage de la recourante de 4.2 heures (14% de 30.6 heures), soit 34 minutes par jour (environ 4 heures x 60 minutes = 240 minutes / 7 jours = 34 minutes), ce qui n’apparaît pas excéder ce qui peut être raisonnablement exigé de membres de la famille dans le cadre de l’obligation de diminuer le dommage. Le fait que l’époux et la fille de la recourante soient « occupés à plein temps » n’y change rien. En application de la jurisprudence fédérale et du principe général selon lequel l’assuré qui demande des prestations doit d’abord entreprendre tout ce que l’on peut raisonnablement attendre de lui pour atténuer les conséquences de son invalidité, la recourante a, entre autres, l’obligation de solliciter l’aide des membres de la famille dans une mesure convenable (cf. ATF 133 V 504 consid. 4.2). Ce qui est déterminant, c'est le point de savoir comment se comporterait une cellule familiale raisonnable, soumise à la même réalité sociale, si elle ne pouvait pas s'attendre à recevoir des prestations d'assurance. Aussi, dans le cadre de son obligation de réduire le dommage (art. 7 al. 1 LAI), la recourante doit se laisser opposer le fait que son conjoint (en vertu de l’art. 159 al. 2 et 3 CC) et sa fille (en vertu de l’art. 272 CC) sont censés remplir les devoirs qui leur incombent en vertu du droit de la famille (cf. arrêt du Tribunal fédéral 9C_248/2022, op. cit., consid. 5.3.2 et les références). S’agissant de la fille aînée de la recourante, l'ESPA, effectuée périodiquement par l’OFS, indique qu’une jeune adulte de cet âge qui vit chez ses parents consacre en moyenne 17,4 heures par semaine au travail domestique et familial (table T 03.06.00.01, population résidante permanente âgée de 15 ans et plus, pour l'année 2020, année la plus proche de celle de l’ouverture du droit à une éventuelle rente), soit près de 2.5 heures par jour. Compte tenu de ces statistiques, l’aide exigible de 3.31 heures par semaine, réparties entre la fille et l’époux de la recourante, n’apparaît aucunement déraisonnable. 6.3.1 Par conséquent, il convient de suivre les conclusions du rapport d’enquête ménagère du 18 juillet 2024 et de confirmer la prise en compte d’une aide de l’entourage de l’ordre de 14%, correspondant à 3.31 heures par semaine, qui n’apparaît pas excéder ce qui peut être raisonnablement exigé des membres de la famille dans le cadre de l’obligation de diminuer le dommage. 7. Il convient à présent d’examiner les calculs du degré d’invalidité global de la recourante, compte tenu d’une part professionnelle de 60% et d’une part consacrée aux tâches ménagères de 40%.</w:t>
      </w:r>
    </w:p>
    <w:p>
      <w:r>
        <w:t>A/3617/2024 - 26/29 - 7.1 Pour la période dès le 1er janvier 2023, soit à l’issue du délai d’attente d’un an (art. 28 al. 1 let. b et c LAI), l’intimé a retenu que le taux d’invalidité dans la sphère professionnelle est de 31.55 % (60% x 52.58%). Dans la sphère ménagère, il a retenu un taux d’invalidité de 0% (40% x 0%), de sorte que le degré d’invalidité global de 31.55%, arrondi à 32% (ATF 130 V 121 consid. 3.2), n’est pas suffisant pour donner droit à une rente d’invalidité. 7.1.1 Il ressort en l’espèce du document « Détermination du degré d’invalidité » du 17 septembre 2024 (cf. dossier intimé, pp. 590-597), que l’intimé a déterminé le degré d’invalidité de la recourante en se fondant sur les données statistiques pour les revenus avec et sans invalidité. S’agissant du revenu sans invalidité, la Cour de céans rappelle qu’il convient de comparer le salaire effectivement réalisé par la recourante avant la survenance de l’invalidité avec les valeurs statistiques médianes usuelles dans la branche. Ayant travaillé pour la dernière fois en 2005, la recourante, titulaire d’un CFC d’employée de commerce, a exercé cette profession de 1986 à 2001, puis a travaillé en qualité de téléphoniste-réceptionniste en 2003 et d’auxiliaire temporaire au sein de la B______ en 2005 (cf. CV de la recourante, dossier de l’intimé, p. 179). Dès lors que la recourante était absente du marché du travail depuis près de 20 ans à la date de la décision litigieuse et qu’elle n’exerçait au demeurant pas dans sa profession d’employée de commerce avant de cesser toute activité, il n’apparaît pas critiquable de se référer, comme l’a fait l’intimé, au tableau TA1_tirage_skill_level, lignes 77,79-82 (sans 78) (« activités de services admin ») pour une femme, niveau de compétence 1 et non pas au tableau T17, groupe 4 (« employé(e)s de type administratif »), pour un employé de commerce avec un CFC, dans les secteurs privé et public. Selon l’Enquête suisse sur la structure des salaires (ESS) 2022 qui était déjà publiée au moment déterminant de la décision litigieuse, le 24 septembre 2024, le salaire mensuel retenu de CHF 4'006.-, soit celui de l’année 2022, correspond à un salaire annualisé de CHF 48’072.- (CHF 4'006.- x 12). Ce salaire annuel hypothétique se basant sur une durée hebdomadaire de travail de 40 heures, inférieure à la moyenne usuelle dans les entreprises, il doit effectivement être ajusté à la durée hebdomadaire normale de travail dans le secteur des « activités de services administratifs (sans 78) », laquelle est de 42 heures en 2022 (tableau 03.02.03.01.04.01 « Durée normale du travail dans les entreprises selon la division économique », lignes 77 + 79-82), ce qui porte le salaire annuel à CHF 50'475.60 pour un plein temps (CHF 48’072.- x 42 /40). Après adaptation de ce montant à l’évolution des salaires nominaux pour les femmes en 2023 selon la table T39 publiée par l’Office fédéral de la statistique (ISS : en 2022 : 2822 et en 2023 : 2872), le revenu sans invalidité s’élève à CHF 51’370.- (50'475.60 x 2872 / 2822) pour un plein temps.</w:t>
      </w:r>
    </w:p>
    <w:p>
      <w:r>
        <w:t>A/3617/2024 - 27/29 - 7.1.2 En ce qui concerne le revenu avec invalidité, l’intimé s’est à juste titre fondé sur les valeurs statistiques dès lors que la recourante n’exploite pas sa capacité de travail résiduelle. Le revenu d’invalide peut ainsi être évalué sur la base des statistiques salariales figurant dans l’ESS 2022. Le salaire de référence est celui auquel peuvent prétendre les femmes effectuant des activités physiques ou manuelles simples (niveau de compétence 1) dans le secteur privé. Vu que le marché du travail offre un éventail suffisamment large d'activités légères, il y a lieu d'admettre qu'un nombre significatif sont adaptées aux limitations de la recourante et accessibles sans aucune formation particulière (cf. arrêt du Tribunal fédéral 9C_279/2008 du</w:t>
      </w:r>
    </w:p>
    <w:p>
      <w:r>
        <w:rPr>
          <w:b/>
        </w:rPr>
        <w:t>E. 16</w:t>
      </w:r>
    </w:p>
    <w:p>
      <w:r>
        <w:t>décembre 2008 consid. 4). Ainsi, d'après l'ESS 2022, ce revenu s'élève à CHF 4'367.- par mois (tableau TA1_tirage_skill_level, niveau 1, total, femme, part au 13e salaire comprise) ou à CHF 52'404.- par année (4'367 × 12). Ce salaire hypothétique se base toutefois sur une durée hebdomadaire de travail de 40 heures, inférieure à la moyenne usuelle dans les entreprises. Il convient dès lors de l'ajuster à la durée hebdomadaire normale de travail en 2022, laquelle est de 41.7 heures (tableau « Durée normale du travail dans les entreprises selon la division économique » de l'Office fédéral de la statistique), ce qui porte le salaire annuel à CHF 54'631.17 pour un plein temps (52'404 × 41.7 / 40). Après adaptation de ce montant à l'évolution des salaires nominaux pour les femmes en 2023 selon la table T39 publiée par l'Office fédéral de la statistique (ISS ; en 2022 : 2822 et en 2023 : 2872), le revenu avec invalidité s'élève à CHF 55'599.12 (54'631.17 × 2872 / 2822) ou à CHF 27'799.56 (55'599.12 / 2) au vu de la capacité de travail raisonnablement exigible de 50%, telle que retenue par l’intimé sur la base de l’expertise du Dr G______. À ce montant, il y a lieu d'opérer une déduction de 10% conformément à l'art. 26bis al. 3 RAI (dans sa teneur en vigueur jusqu'au 31 décembre 2023), sans qu'il y ait lieu d'appliquer un facteur de réduction supplémentaire en l'occurrence (ATF 150 V 410 consid. 10.6). Il sera à ce propos relevé que, conformément à la jurisprudence fédérale, même si la recourante était âgée de 58 ans au moment de la décision litigieuse, il apparaît que certaines des activités simples et répétitives mentionnées par l’intimé (téléphoniste et activité de scannage) ne nécessitent aucune formation spécifique et qu’aucun certificat médical ne permet de douter de leur adéquation à l’état de santé physique de l’intéressée au moment où la décision litigieuse a été rendue. Surtout que ces activités sont, en règle générale, disponibles indépendamment de l'âge de l'intéressée sur le marché équilibré du travail (cf. arrêt du Tribunal fédéral 9C_695/2010 du 15 mars 2011 consid. 6.3 et les références). En application de la déduction de 10% sur le revenu d'invalide de CHF 27'799.56, ce dernier s'élève à CHF 25'019.60 (27'799.56 - 2'779.56).</w:t>
      </w:r>
    </w:p>
    <w:p>
      <w:r>
        <w:t>A/3617/2024 - 28/29 - Compte tenu d’un revenu sans invalidité de CHF 51’370.-, le taux d’invalidité de la recourante est de 51.29% ([51'370 – 25'019.60] / 51'370 x 100). Il s’ensuit que le taux d’invalidité dans la sphère professionnelle est de 30.77% (60% x 51.29%), soit un taux inférieur au taux de 31.55% retenu par l’intimé. Le taux d’invalidité de la sphère ménagère étant de 0%, en raison de l’absence d’empêchement, le taux d’invalidité global est de 30.77%, arrondi à 31%, au 1er janvier 2023. 7.2 Dès le 1er janvier 2024, il convient toutefois de procéder à une déduction de 20% sur le revenu avec invalidité eu égard à la capacité de travail résiduelle de 50%. Par conséquent, le revenu d’invalide se trouve réduit à CHF 22'239.648 (CHF 27'799.56 - 5'559.912). La comparaison avec le revenu sans invalidité de CHF 51’370.- aboutit ainsi à un taux d’invalidité de 56.70% ([51'370 – 22'239.648] / 51'370 x 100) dans la sphère professionnelle. Par conséquent, compte tenu du taux d’invalidité de 0% dans la sphère ménagère et du taux d’invalidité dans la sphère professionnelle de 34% (60% x 56.70%) le taux d’invalidité global est de 34% dès le 1er janvier 2024. 7.3 Les taux d’invalidité globaux de respectivement 31% dès le 1er janvier 2023 et de 34% dès le 1er janvier 2024 étant inférieurs au taux de 40% nécessaire à l’ouverture du droit à une rente d’invalidité, c’est à bon droit que l’intimé a refusé toute prestation à la recourante. 8. Aussi, au vu de la valeur probante de l’expertise du Dr G______ du 15 avril 2024 et par appréciation anticipée des preuves (ATF 130 II 425 consid. 2.1), la Cour de céans ne donnera pas suite à la demande de mise en œuvre d’une expertise judiciaire telle que sollicitée par la recourante. 9. Compte tenu de ce qui précède, le recours est rejeté. La recourante, qui succombe, n’a pas droit à des dépens (art. 61 let. g LPGA). Il convient de renoncer à la perception d'un émolument, la recourante plaidant au bénéfice de l'assistance juridique (art. 69 al. 1bis LAI et 13 al. 1 du règlement sur les frais, émoluments et indemnités en procédure administrative du 30 juillet 1986 [RFPA - E 5 10.03]). ***</w:t>
      </w:r>
    </w:p>
    <w:p>
      <w:r>
        <w:t>A/3617/2024 - 29/29 -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