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ATAS/892/2012 vom 4. Juli 2012</w:t>
      </w:r>
    </w:p>
    <w:p>
      <w:r>
        <w:t>GE Cour de justice, 2012-07-04, FR</w:t>
      </w:r>
    </w:p>
    <w:p>
      <w:r>
        <w:rPr>
          <w:b/>
        </w:rPr>
        <w:t xml:space="preserve">Quelle: </w:t>
      </w:r>
      <w:r>
        <w:t>https://mcp.opencaselaw.ch/entscheid/ge_gerichte_ATAS_892_2012</w:t>
      </w:r>
    </w:p>
    <w:p>
      <w:r>
        <w:t>FR: GE_GERICHTE ATAS/892/2012 du 4 juillet 2012</w:t>
      </w:r>
    </w:p>
    <w:p>
      <w:r>
        <w:t>IT: GE_GERICHTE ATAS/892/2012 del 4 luglio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w:t>
      </w:r>
    </w:p>
    <w:p>
      <w:r>
        <w:t>- 4/6-</w:t>
      </w:r>
    </w:p>
    <w:p>
      <w:r>
        <w:t>A/344/2012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 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b) En l'occurrence, la Cour de céans constate que la décision litigieuse a été notifiée au recourant par pli recommandé du 5 janvier 2012. L’avis de retrait a été déposé le</w:t>
      </w:r>
    </w:p>
    <w:p>
      <w:r>
        <w:rPr>
          <w:b/>
        </w:rPr>
        <w:t>E. 6</w:t>
      </w:r>
    </w:p>
    <w:p>
      <w:r>
        <w:t>janvier 2012, ainsi qu’en atteste le suivi des envois Track &amp; Trace de la Poste et le pli, non réclamé, a été retourné à l’intimée le 16 janvier 2012. Compte tenu du délai de garde de sept jours, la décision litigieuse est réputée avoir été notifiée au</w:t>
      </w:r>
    </w:p>
    <w:p>
      <w:r>
        <w:t>- 5/6-</w:t>
      </w:r>
    </w:p>
    <w:p>
      <w:r>
        <w:t>A/344/2012 recourant le 13 janvier 2012. Il s’ensuit que le délai de recours a commencé à courir le 14 janvier 2012 et est parvenu à échéance le lundi 13 février 2012. Or, le recourant n’a interjeté formellement recours qu’en date du 16 février 2012, soit hors du délai légal. La Cour de céans relève en effet que la demande de restitution du délai formée par le recourant en date du 1er février 2012 ne saurait valoir acte de recours, étant précisé que l’attention de ce dernier a été expressément attirée sur le fait qu’il devait interjeter un recours motivé dans le délai de 30 jours à compter de la date à laquelle la décision querellée est réputée lui avoir été notifiée. Au surplus, l’intimée avait signifié au recourant, par courrier du 25 janvier 2012, que le délai de recours arrivait à échéance le 13 février 2012. Au vu de ce qui précède, le recours est tardif. 4. Reste à examiner si une restitution de délai peut être accordée. Tel peut être le cas, de manière exceptionnelle, à condition que le requérant ait été empêché, sans sa faute, d’agir dans le délai fixé (art. 41 LPGA, 16 al. 3 de la loi sur la procédure administrative, du 12 septembre 1985 - LPA ; RS E 5 10) et pour autant qu’une demande de restitution motivée, indiquant la nature de l’empêchement, soit présentée dans les 30 jours (art. 41 LPGA), respectivement 10 jours (art. 16 al. 3 LPA)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selon la jurisprudence, celui qui, pendant une procédure, s’absente un certain temps du lieu dont il a communiqué l’adresse aux autorités ne peut se prévaloir de son absence lors de la tentative de notification d’une communication officielle à son adresse officielle, s’il devait s’attendre avec quelque vraisemblance à recevoir une telle communication (cf. ATF 119 V 94, consid. 4b ; POUDRET, Commentaire de la l’OJ, vol. I, p. 249 ad art. 35 OJ). In casu, le recourant, qui avait reçu une décision contre laquelle il avait formé opposition, devait s’attendre à recevoir une décision. Il lui incombait ainsi de prendre toutes les dispositions nécessaires pour que les envois postaux lui parviennent, ou de renseigner l’autorité sur le lieu où il peut être atteint ou encore de mandater un tiers afin d’agir en son nom (cf. ATAS/62/2010), ce qu’il a omis de faire. Partant, l’on ne peut considérer l’absence pour cause de vacances du recourant comme un motif valable de restitution. En l'absence de motif valable de restitution de délai, le recours doit être déclaré irrecevable pour cause de tardiveté.</w:t>
      </w:r>
    </w:p>
    <w:p>
      <w:r>
        <w:t>- 6/6-</w:t>
      </w:r>
    </w:p>
    <w:p>
      <w:r>
        <w:t>A/344/2012</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