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ATAS/891/2019 vom 1. Oktober 2019</w:t>
      </w:r>
    </w:p>
    <w:p>
      <w:r>
        <w:t>GE Cour de justice, 2019-10-01, FR</w:t>
      </w:r>
    </w:p>
    <w:p>
      <w:r>
        <w:rPr>
          <w:b/>
        </w:rPr>
        <w:t xml:space="preserve">Quelle: </w:t>
      </w:r>
      <w:r>
        <w:t>https://mcp.opencaselaw.ch/entscheid/ge_gerichte_ATAS_891_2019</w:t>
      </w:r>
    </w:p>
    <w:p>
      <w:r>
        <w:t>FR: GE_GERICHTE ATAS/891/2019 du 1 octobre 2019</w:t>
      </w:r>
    </w:p>
    <w:p>
      <w:r>
        <w:t>IT: GE_GERICHTE ATAS/891/2019 del 1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la légalité de la décision de l’intimé de refuser à la recourante le droit à une rente d’invalidité.</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w:t>
      </w:r>
    </w:p>
    <w:p>
      <w:r>
        <w:t>A/2057/2018 - 14/26 -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w:t>
      </w:r>
    </w:p>
    <w:p>
      <w:r>
        <w:t>A/2057/2018 - 15/26 -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A/2057/2018 - 16/26 - assurances sociales atteigne le degré de vraisemblance prépondérante (ATF 141 V 15 consid. 3.1; ATF 137 V 334 consid. 3.2;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3087 et ss. de la circulaire concernant l'invalidité et l'impotence de l'assurance-invalidité (office</w:t>
      </w:r>
    </w:p>
    <w:p>
      <w:r>
        <w:t>A/2057/2018 - 17/26 - fédéral des assurances sociales, CIIAI, état au 1er janvier 2018).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Pour satisfaire à l'obligation de réduire le dommage (voir ATF 129 V 463 consid.</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A/2057/2018 - 18/26 -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A/2057/2018 - 19/26 -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a.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et ATF 104 V 136 consid. 2a et 2b). Pour procéder à la comparaison des revenus, il convient de se placer au moment de la naissance du droit à la rente ; les revenus avec et sans invalidité doivent être déterminés par rapport à un même moment et les</w:t>
      </w:r>
    </w:p>
    <w:p>
      <w:r>
        <w:t>A/2057/2018 - 20/26 -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w:t>
      </w:r>
    </w:p>
    <w:p>
      <w:r>
        <w:t>A/2057/2018 - 21/26 - l'administration ou de demander un complément à l'expert (ATF 137 V 210 consid. 4.4.1.3 et 4.4.1.4 ; SVR 2010 IV n. 49 p. 151, consid. 3.5 ; arrêt du Tribunal fédéral 8C_760/2011 du 26 janvier 2012 consid. 3).</w:t>
      </w:r>
    </w:p>
    <w:p>
      <w:r>
        <w:rPr>
          <w:b/>
        </w:rPr>
        <w:t>E. 15</w:t>
      </w:r>
    </w:p>
    <w:p>
      <w:r>
        <w:t>En l’espèce, l’intimé a retenu, sur la base du rapport d’expertise effectué par les médecins du SMR, que le recourante ne souffrait d’aucune pathologie psychiatrique à caractère incapacitant et que sa capacité de travail était donc de 100 % dans toute activité. Sur le plan rhumatologique, le diagnostic principal retenu avec répercussion durable sur la capacité de travail était des cervicalgies dans le cadre de troubles statiques et dégénératifs du rachis avec hernies discales C4-C5 et C5-C6. Les limitations fonctionnelles découlant des diagnostics retenus étaient en principe respectées dans l’activité habituelle de la recourante. Celle-ci avait donc une incapacité de travail totale du 27 janvier 2013 au 3 août 2015, et une incapacité de 65 % à compter du 4 août 2014. La capacité de travail était entière depuis le mois de juin 2015.</w:t>
      </w:r>
    </w:p>
    <w:p>
      <w:r>
        <w:rPr>
          <w:b/>
        </w:rPr>
        <w:t>E. 16</w:t>
      </w:r>
    </w:p>
    <w:p>
      <w:r>
        <w:t>L'assurée estime que cette expertise n’aurait pas de valeur probante, pour divers motifs. a. Elle reproche tout d’abord au médecin-psychiatre du SMR de ne l'avoir vue pour établir son rapport que quarante-cinq minutes environ. Elle en conclut que cette expertise ne pourrait avoir été réalisée correctement. La durée de l'entretien ne constitue pas le seul élément déterminant pour définir si l'expertise a valeur probante ou non. En effet, le travail de l'expert ne se limite pas à l'entretien, mais se poursuit ensuite par l'analyse des propos recueillis et du comportement observé (ATF I 746/05 du 30 mai 2006 consid. 2.3 ; ATAS/1011/2011).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Il y a quoi qu'il en soit lieu de distinguer le travail effectué par un expert, dont la mission est de répondre à un certain nombre de questions dans le cadre d'un litige plus particulièrement et à un moment déterminé, de celui mené par le médecin traitant chargé de traiter l'assuré sur une longue durée. Aussi, la durée de l'entretien importe-t-elle peu pour déterminer la valeur probante d'un rapport médical. La chambre de céans observera par ailleurs que la médecin-psychiatre du SMR a analysé de manière circonstanciée les données anamnestiques, qu'elle a décrit le contexte médical avec précision, que son rapport ne contient pas de contradictions et que ses conclusions sont motivées. Dans son dernier courrier, le médecin-traitant de l’assurée, en revenant sur son enfance malheureuse, indique que la recourante a des difficultés à se confier, notamment aux psychiatres. Il ressort cependant du rapport d’expertise que la recourante a fait part à la médecin-psychiatre du SMR des difficultés qu’elle avait rencontrées avec sa mère alcoolique qui la dévalorisait, ainsi que des maltraitances physiques infligées par son beau-père. Le seul élément</w:t>
      </w:r>
    </w:p>
    <w:p>
      <w:r>
        <w:t>A/2057/2018 - 22/26 - mentionné par son médecin-traitant qui ne figure pas dans le rapport est le fait que la recourante aurait développé des troubles alimentaires vers l’âge de 7 ans et qu’elle se serait tapé la tête contre les murs. Or, ce seul élément ne suffit pas à susciter un doute sur la valeur probante du rapport effectué par la médecin- psychiatre du SMR. La chambre de céans relèvera enfin que la recourante n’a produit aucun rapport d’un médecin-psychiatre qui contredirait les conclusions de ce rapport. Or, conformément à la jurisprudence susmentionnée, la reconnaissance de l’existence d’une atteinte à la santé psychique suppose la présence d’un diagnostic émanant d’un expert (psychiatre) et s’appuyant selon les règles de l’art sur les critères d’un système de classification reconnu. Partant, les allégations de son médecin généraliste traitant, qui mentionne un état dépressif sévère, ne sauraient permettre de remettre en cause les conclusions de la médecin-spécialiste du SMR. Partant, rien ne s'oppose à ce que le rapport de cette médecin remplisse toutes les exigences posées par la jurisprudence pour se voir reconnaître une pleine valeur probante. b. La recourante reproche ensuite aux médecins du SMR de « faire partie » de l’OAI, soit d’être forcément partiaux. Or, il ressort de la jurisprudence susmentionnée que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Cependant, étant donné l'importance conférée aux rapports médicaux dans le droit des assurances sociales, il y a lieu toutefois de poser des exigences sévères quant à l'impartialité de l'expert. En l’espèce, hormis l’allégation relative à leur appartenance au SMR, la recourante n’a émis aucune critique concrète à l’égard de ces médecins, qui pourrait susciter un doute au sujet de leur prétendue impartialité. Partant, ce grief ne saurait être retenu. c. La recourante relève enfin qu’aucun neurologue ne l’a examinée, alors que les médecins du SMR, une psychiatre et un rhumatologue, s’étaient prononcés sur son statut neurologique, domaine qui n’était pas de leur compétence. Dans le rapport d’expertise du SMR, le Dr G______ a retenu comme diagnostic principal avec répercussion durable sur la capacité de travail des cervicalgies dans le cadre de troubles statiques et dégénératifs du rachis avec hernies discales C4-C5 et C5-C6, et comme diagnostics associés une périarthrite scapulo-humérale bilatérale avec conflit sous-acromial et suspicion de tendinopathie du sus-épineux et du long chef du biceps des deux côtés, des douleurs et limitations fonctionnelles du pouce gauche dans le cadre d’un status après cure chirurgicale de rhizarthrose gauche et après algoneurodystrophie, de périarthrite de la hanche gauche, de troubles statiques des pieds avec hallux valgus bilatéral résiduel discret dans le</w:t>
      </w:r>
    </w:p>
    <w:p>
      <w:r>
        <w:t>A/2057/2018 - 23/26 - cadre d’un statuts après cure d’hallux valgus bilatéral, et de coxarthrose gauche modérée. Il a examiné et discuté les divers rapports figurant au dossier et procédé à un examen clinique de la recourante. Il a retenu les limitations fonctionnelles suivantes : la nécessité de pouvoir alterner deux fois par heure la position assise et la position debout, pas de soulèvement ou de port régulier de charges d’un poids excédant 5 kg, pas de travail en porte-à-faux statique prolongé du tronc, pas d’exposition à des vibrations ; pas de mouvements répétés de flexion-extension de la nuque, pas de rotations rapides de la tête, pas de position prolongée en flexion ou extension de la nuque, pas de rotations rapides de la tête, pas de position prolongée en flexion ou extension de la nuque. Au niveau des membres inférieurs, elle ne pouvait faire de génuflexion répétée ou franchir régulièrement escabeaux, échelles ou escalier, ne pouvait rester en position debout plus d’un quart d’heure, ou marcher plus de deux heures. Elle ne pouvait travailler en hauteur. Au niveau des membres supérieurs, elle ne pouvait élever les épaules à plus de 70 degrés, lever des charges de plus de 5 kg, faire du travail de précision avec les mains ou déployer de force avec les mains. Ces limitations fonctionnelles étant respectées dans l’activité habituelle de la recourante, il a retenu qu’elle avait une capacité de travail entière dès le mois de juin 2015. Les rapports de neurologues figurant au dossier de la recourante au moment de la prise de la décision querellée ne plaident pas en faveur d’une interprétation différente de ses limitations fonctionnelles. En effet, dans son rapport du 3 mars 2014, la Dresse B______ avait simplement relevé qu’une libération chirurgicale du nerf médian gauche dans le canal carpien était souhaitable dans le cadre de l’opération d’une rizarthrose à gauche qui était prochainement prévue. À teneur du rapport de cette opération effectuée par le Dr C______, celle-ci s’était bien déroulée. Dans son rapport du 2 février 2015, le Dr F______ a retenu le diagnostic de cervicobrachialgie C6 gauche, légèrement déficitaire, sur une discarthrose pluri- étagée prédominant en C5-C6 avec comblement du foramen gauche, mais a précisé que la recourante devrait pouvoir progressivement reprendre une activité de préposée au guichet à 70 % et que dans un poste adapté, elle n’aurait aucune limitation fonctionnelle, temporaire ou définitive. Le Dr D______, médecin du travail, a quant à lui retenu comme limitations fonctionnelles une diminution de la force et de la mobilité de la main gauche, ce qui ne va pas à l’encontre des conclusions du Dr G______. Quant au médecin traitant de l’assurée, il a principalement insisté sur l’état psychique de la recourante, qu’il qualifie d’anxio-dépressif chronique, mais ne s’est personnellement pas prononcé sur ses problèmes somatiques. Dans ces circonstances, rien ne permet de retenir que les conclusions du Dr G______ n’auraient pas de valeur probante.</w:t>
      </w:r>
    </w:p>
    <w:p>
      <w:r>
        <w:t>A/2057/2018 - 24/26 -</w:t>
      </w:r>
    </w:p>
    <w:p>
      <w:r>
        <w:rPr>
          <w:b/>
        </w:rPr>
        <w:t>E. 17</w:t>
      </w:r>
    </w:p>
    <w:p>
      <w:r>
        <w:t>Dans le cadre de la procédure de recours, la recourante a produit de nouveaux rapports mettant en évidence une aggravation de son état de santé postérieure à la décision du 16 mai 2018, que le SMR reconnaît dans son dernier rapport du 3 décembre 2018, précisant toutefois qu’elle n’entraînerait qu’une incapacité de travail passagère. Dans son dernier courrier du 20 septembre 2019, la recourante informe la chambre de céans des dernières évolutions de son état de santé.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conséquence, la décision litigieuse ayant été rendue le 16 mai 2018, seuls peuvent être retenus dans le cadre de la présente procédure les faits antérieurs à cette date. L’aggravation postérieure de son état de santé ne peut être examinée dans le cadre de la présente procédure, n’étant pas de nature à influencer l’appréciation qui a été faite au moment où la décision a été rendue.</w:t>
      </w:r>
    </w:p>
    <w:p>
      <w:r>
        <w:rPr>
          <w:b/>
        </w:rPr>
        <w:t>E. 18</w:t>
      </w:r>
    </w:p>
    <w:p>
      <w:r>
        <w:t>Il convient à présent de se prononcer sur le degré d’invalidité de la recourante et partant, sur son droit à une rente d’invalidité. a. L’OAI a retenu un statut mixte, à raison de 70 % pour l’activité lucrative et de 30 % pour la part ménagère. Ce statut, qui correspond au taux d’activité professionnelle de la recourante depuis 1988, n’est pas contesté. b. Pour la période du 27 janvier 2014 au 3 août 2014, la recourante a été totalement incapable de travailler dans toute activité et a par conséquent présenté un degré d’invalidité de 100%. Du 4 août 2014 au 31 mai 2015, la recourante a retrouvé une capacité de travail de 50 %, et a repris son activité habituelle à 35 %, soit 50 % de son taux habituel. À compter du 1er juin 2015, la recourante a retrouvé une capacité de travail entière et a repris son activité à son taux habituel de 70 %. c. S’agissant de sa capacité d’effectuer ses tâches domestiques, l’office AI a ordonné la tenue d’une enquête ménagère, qui a retenu un taux d’empêchement pondéré de 28,5 % sans exigibilité, et de 0 % avec exigibilité. Cette enquête ménagère, dont les conclusions ne sont au demeurant pas contestées par la recourante, ne prête pas le flanc à la critique. Elle retient, comme le permet la jurisprudence, que la recourante peut demander l’aide de ses filles habitant avec elle pour accomplir les tâches que son état de santé ne lui permet plus d’effectuer.</w:t>
      </w:r>
    </w:p>
    <w:p>
      <w:r>
        <w:t>A/2057/2018 - 25/26 - d. Au vu de ce qui précède, à l’échéance du délai de carence d’une année (art. 28 al. 1 let. c LAI), soit au 27 janvier 2015, la recourante a présenté un degré d’invalidité de 35 % (soit 50 % dans son activité professionnelle et 0 % dans ses activités ménagères). Or, un degré inférieur à 40 % ne donne pas droit à des prestations de l’AI sous forme de rente (art. 28 al. 1 let. c LAI), À compter du 1er juin 2015, la recourante a retrouvé une pleine capacité de travail, de sorte que l’OAI a à juste titre renoncé à mettre en place des mesures d’ordre professionnel. Par conséquent, la décision querellée est bien fondée.</w:t>
      </w:r>
    </w:p>
    <w:p>
      <w:r>
        <w:rPr>
          <w:b/>
        </w:rPr>
        <w:t>E. 19</w:t>
      </w:r>
    </w:p>
    <w:p>
      <w:r>
        <w:t>Au vu de ce qui précède, le recours doit être rejeté, étant toutefois précisé qu'il reste loisible à la recourante de déposer une nouvelle demande auprès de l'OAI au vu des aggravations de son état de santé dont elle a fait état dans le cadre de la procédure de recours.</w:t>
      </w:r>
    </w:p>
    <w:p>
      <w:r>
        <w:rPr>
          <w:b/>
        </w:rPr>
        <w:t>E. 20</w:t>
      </w:r>
    </w:p>
    <w:p>
      <w:r>
        <w:t>La procédure n’étant pas gratuite (art. 69 al. 1bis LAI), il y a lieu de condamner la recourante au paiement d'un émolument de CHF 200.-.</w:t>
      </w:r>
    </w:p>
    <w:p>
      <w:r>
        <w:t>A/2057/2018 - 26/26 -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