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ATAS/891/2015 vom 19. November 2015</w:t>
      </w:r>
    </w:p>
    <w:p>
      <w:r>
        <w:t>GE Cour de justice, 2015-11-19, FR</w:t>
      </w:r>
    </w:p>
    <w:p>
      <w:r>
        <w:rPr>
          <w:b/>
        </w:rPr>
        <w:t xml:space="preserve">Quelle: </w:t>
      </w:r>
      <w:r>
        <w:t>https://mcp.opencaselaw.ch/entscheid/ge_gerichte_ATAS_891_2015</w:t>
      </w:r>
    </w:p>
    <w:p>
      <w:r>
        <w:t>FR: GE_GERICHTE ATAS/891/2015 du 19 novembre 2015</w:t>
      </w:r>
    </w:p>
    <w:p>
      <w:r>
        <w:t>IT: GE_GERICHTE ATAS/891/2015 del 19 novembre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 ss LPGA.</w:t>
      </w:r>
    </w:p>
    <w:p>
      <w:r>
        <w:rPr>
          <w:b/>
        </w:rPr>
        <w:t>E. 5</w:t>
      </w:r>
    </w:p>
    <w:p>
      <w:r>
        <w:t>Est seul litigieux à ce stade de la procédure le bien-fondé de la demande de restitution formulée par l’intimé, étant précisé que la question d’une éventuelle</w:t>
      </w:r>
    </w:p>
    <w:p>
      <w:r>
        <w:t>A/2667/2015 - 4/5 - remise de l’obligation de restituer devra faire - si besoin - l’objet d’une autre décision, une fois celle en restitution entrée en force.</w:t>
      </w:r>
    </w:p>
    <w:p>
      <w:r>
        <w:rPr>
          <w:b/>
        </w:rPr>
        <w:t>E. 6</w:t>
      </w:r>
    </w:p>
    <w:p>
      <w:r>
        <w:t>Selon l’art. 21 al. 5 LPGA, applicable dans le domaine de l’assurance-invalidité (art. 1 al. 1 LAI), si l’assuré subit une mesure ou une peine privative de liberté, le paiement des prestations pour perte de gain peut être partiellement ou totalement suspendu. Selon la jurisprudence développée avant l’entrée en vigueur de cette disposition, le 1er janvier 2003, et qui conserve toute sa validité (ATF 133 V 1), la suspension se justifie principalement par le fait qu’un prisonnier invalide ne doit retirer aucun avantage économique de l’exécution de sa peine ; en effet, le prisonnier non invalide perd en règle générale la source de son revenu (ATF 116 V 22 consid. 3b). Le versement de la rente peut être suspendu lorsque la personne invalide se trouve en détention préventive pendant plus de trois mois (ATF 133 V 1). La rente peut aussi être suspendue rétroactivement, puisque les prestations indument touchées doivent être restituées en vertu de l’art. 25 al. 1 LPGA. Après la remise en liberté, le droit à la rente renaît automatiquement, sans qu’il soit nécessaire de procéder au préalable à une révision et d’accorder la rente.</w:t>
      </w:r>
    </w:p>
    <w:p>
      <w:r>
        <w:rPr>
          <w:b/>
        </w:rPr>
        <w:t>E. 7</w:t>
      </w:r>
    </w:p>
    <w:p>
      <w:r>
        <w:t>En l’espèce, ce n’est qu’à compter du 12 décembre 2014, date de sa libération conditionnelle par le Tribunal d’application des peines et mesures (TAPEM), que l’assuré a recouvré la possibilité d’exercer une activité lucrative ou de suivre une formation. Eu égard aux considérations qui précèdent, c’est donc à juste titre que l’intimé a considéré que les prestations versées à l’assuré durant son incarcération l’ont été indument et qu’il en a réclamé la restitution. Le recourant ne le conteste au demeurant pas. Le recours est donc rejeté. Autre est la question de savoir si les conditions permettant la remise de l’obligation de restituer sont remplies, ce qu’il appartiendra à l’intimé d’examiner avant de rendre une décision séparée.</w:t>
      </w:r>
    </w:p>
    <w:p>
      <w:r>
        <w:t>A/2667/2015 - 5/5 -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