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ATAS/890/2025 vom 12. November 2025</w:t>
      </w:r>
    </w:p>
    <w:p>
      <w:r>
        <w:t>GE Cour de justice, 2025-11-12, FR</w:t>
      </w:r>
    </w:p>
    <w:p>
      <w:r>
        <w:rPr>
          <w:b/>
        </w:rPr>
        <w:t xml:space="preserve">Quelle: </w:t>
      </w:r>
      <w:r>
        <w:t>https://mcp.opencaselaw.ch/entscheid/ge_gerichte_ATAS_890_2025</w:t>
      </w:r>
    </w:p>
    <w:p>
      <w:r>
        <w:t>FR: GE_GERICHTE ATAS/890/2025 du 12 novembre 2025</w:t>
      </w:r>
    </w:p>
    <w:p>
      <w:r>
        <w:t>IT: GE_GERICHTE ATAS/890/2025 del 12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recours, qui satisfait aux exigences, peu élevées, de forme et de contenu prescrites par la loi (art. 61 let. b LPGA ; ATAS/689/2017 du 21 août 2017 consid. 4b), et a été interjeté dans le délai prévu par la loi (art. 56 al. 1 et 60 LPGA ; art. 43 LPCC ; art. 62 al. 1 let. a en lien avec l'art. 89A de la loi sur la procédure administrative du 12 septembre 1985 [LPA ‑ E 5 10]), sera déclaré recevable.</w:t>
      </w:r>
    </w:p>
    <w:p>
      <w:r>
        <w:rPr>
          <w:b/>
        </w:rPr>
        <w:t>E. 2</w:t>
      </w:r>
    </w:p>
    <w:p>
      <w:r>
        <w:t>Le litige porte uniquement sur la question de la remise de l'obligation de restituer la somme de CHF 1'662.-, correspondant aux subsides d'assurance-maladie versés indûment du 1er avril 2023 au 30 avril 2024, le principe de l'obligation de restituer et le montant réclamé ayant quant à eux déjà été confirmés, de sorte qu’ils sortent de l’objet de la contestation.</w:t>
      </w:r>
    </w:p>
    <w:p>
      <w:r>
        <w:rPr>
          <w:b/>
        </w:rPr>
        <w:t>E. 3.1</w:t>
      </w:r>
    </w:p>
    <w:p>
      <w:r>
        <w:t>Les subsides d'assurance-maladie, sous réserve des exceptions prévues par l'art. 27 de la loi d’application de la loi fédérale sur l’assurance-maladie du 29 mai 1997 (LaLAMal - J 3 05), non réalisées in casu, sont destinés notamment aux bénéficiaires de prestations fédérales et/ou cantonales complémentaires à l'AVS/AI accordées par le SPC (cf. art. 20 al. 1 let. b et 22 al. 7 LaLAMal). Conformément à l’art. 33 LaLAMal, les subsides indûment touchés doivent être restitués en appliquant par analogie l'art. 25 LPGA (al. 1). Lorsque des subsides ont été indûment touchés par un bénéficiaire des prestations du service, ce service peut en demander la restitution au nom et pour le compte du service de l'assurance-maladie (al. 2).</w:t>
      </w:r>
    </w:p>
    <w:p>
      <w:r>
        <w:t>A/535/2025 - 9/19 -</w:t>
      </w:r>
    </w:p>
    <w:p>
      <w:r>
        <w:rPr>
          <w:b/>
        </w:rPr>
        <w:t>E. 3.2</w:t>
      </w:r>
    </w:p>
    <w:p>
      <w:r>
        <w:t>Selon l’art. 25 al. 1 1re phrase LPGA, les prestations indûment touchées doivent être restituées. En vertu de l'art. 2 al. 1 de l'ordonnance sur la partie générale du droit des assurances sociales du 11 septembre 2002 (LPGA - RS 830.11), en lien avec l'art. 25 LPGA, sont soumis à l’obligation de restituer : le bénéficiaire des prestations allouées indûment ou ses héritiers (let. a) ; les tiers ou les autorités à qui ont été versées des prestations en espèces pour qu’elles soient utilisées conformément à leur but, au sens de l’art. 20 LPGA ou des dispositions des lois spéciales, à l’exception du curateur (let. b) ; les tiers ou les autorités à qui ont été versées après coup des prestations indues, à l’exception du curateur (let. c).</w:t>
      </w:r>
    </w:p>
    <w:p>
      <w:r>
        <w:rPr>
          <w:b/>
        </w:rPr>
        <w:t>E. 3.2.1</w:t>
      </w:r>
    </w:p>
    <w:p>
      <w:r>
        <w:t>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 RS 831.20) ne peuvent fonder aucun droit propre à des prestations complémentaires. Cela vaut également lorsque la prestation complémentaire pour enfant est calculée séparément au sens de l’art. 7 al.1 let. c et al. 2 de l’ordonnance sur les prestations complémentaires à l’assurance-vieillesse, survivants et invalidité du 15 janvier 1971 (OPC-AVS/AI - RS 831.301), aux termes duquel si l’enfant ne vit pas chez ses parents, ou s’il vit chez celui des parents qui n’a pas droit à une rente, ni ne peut prétendre l’octroi d’une rente complémentaire, la prestation complémentaire doit être calculée séparément.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Les enfants bénéficiant d’une rente complémentaire pour enfant de l’AI ou de l’AVS ne peuvent donc pas exiger le versement de prestations complémentaires (ATF 139 V 170 consid. 5.2), le droit à de telles prestations étant réservé aux seuls titulaires du droit « originel » à la rente (originärer Rentenanspruch ; arrêt du Tribunal fédéral 9C_371/2011 du 5 septembre 2011 consid. 2.3 et les références). Un enfant majeur qui donne droit à une rente complémentaire de l’assurance- invalidité a un intérêt juridiquement protégé pour recourir contre le calcul de la prestation complémentaire de ses parents, dès lors qu’il a la faculté d’exercer le droit aux prestations complémentaires pour leur compte (ATF 138 V 292 consid. 4.3). En revanche, l’enfant n’a pas compétence pour recourir quant au</w:t>
      </w:r>
    </w:p>
    <w:p>
      <w:r>
        <w:t>A/535/2025 - 10/19 - principe et à l’étendue du droit à la prestation, malgré son droit au versement direct de la prestation complémentaire calculée séparément (consid. 4.2.2). Selon le chiffre 4250.02 des directives concernant les prestations complémentaires à l'AVS et à l'AI, dans leur état au 1er janvier 2024, les enfants majeurs peuvent solliciter le versement de la prestation complémentaire calculée séparément en mains propres, par analogie à l'art. 71ter al. 3 du règlement sur l'assurance- vieillesse et survivants du 31 octobre 1947 (RAVS - RS 831.101). Selon l'art. 71ter al. 1 RAVS, par envoi de l’art. 82 al. 1 du règlement sur l'assurance-invalidité du 17 janvier 1961 (RAI - RS 831.201),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l'art. 71ter al. 3 RAVS, la majorité de l’enfant ne modifie pas le mode de versement appliqué jusque-là, sauf si l’enfant majeur demande que la rente pour enfant lui soit versée directement. Toute décision contraire du juge civil ou de l’autorité tutélaire est réservée. Cette disposition prévoit dans ses grandes lignes que, sous réserve d'une décision contraire du juge civil ou de l'autorité tutélaire, la majorité de l'enfant ne modifie pas le mode de versement de la rente appliquée jusque-là (donc en principe aux parents), sauf si l'enfant majeur demande que la rente pour enfant lui soit versée directement. Cette réglementation vaut également pour le versement de la prestation complémentaire (Michel VALTERIO, Commentaire de la loi fédérale sur les prestations complémentaires à l'AVS et à l'AI, 2015, n. 100 ad art. 21 LPC). Cet auteur relève que le Tribunal fédéral a laissé ouverte la question de savoir si l'art. 71ter al. 3 RAVS est également applicable en matière de prestations complémentaires (ATF 138 V 292 consid. 4.22). L'auteur considère que cette réserve est à tout le moins curieuse dans la mesure où le versement de la prestation complémentaire ne devrait pas différer de celui de la rente dont elle constitue le complément (VALTERIO, op cit., p. 287, note de bas de page 942). En ce qui concerne la restitution des prestations versées à tort, le parent qui a encore un devoir d’entretien à l’égard d’un enfant majeur est assimilé à un représentant légal et donc tenu à restitution ; tel est par exemple le cas du parent survivant qui a reçu une rente d’orphelin à laquelle l’enfant majeur n’avait pas droit (arrêt du Tribunal fédéral 9C_531/2016 du 11 mai 2017 consid. 4.2 ; ATAS/604/2022 du 30 juin 2022 consid. 7.1).</w:t>
      </w:r>
    </w:p>
    <w:p>
      <w:r>
        <w:rPr>
          <w:b/>
        </w:rPr>
        <w:t>E. 3.2.2</w:t>
      </w:r>
    </w:p>
    <w:p>
      <w:r>
        <w:t>Selon l’art. 20 al. 1 LPGA,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w:t>
      </w:r>
    </w:p>
    <w:p>
      <w:r>
        <w:t>A/535/2025 - 11/19 - en mesure de les utiliser à cet effet (let. a), et que lui-même ou les personnes dont il a la charge dépendent de ce fait de l’assistance publique ou privée (let. b). Selon la lettre claire de l’art. 20 al. 1 LPGA, le versement peut être effectué uniquement à un tiers qui a une obligation d’entretien à l’égard de l’ayant droit et non pas à la personne qui a droit à une prestation d’entretien de la part de celui-ci (ATF 143 V 241 consid. 4.4 ; Margit MOSER-SZELESS, in Commentaire romand Loi sur la partie générale des assurances sociales, 2018, n. 20 ad art. 20 LPGA).</w:t>
      </w:r>
    </w:p>
    <w:p>
      <w:r>
        <w:rPr>
          <w:b/>
        </w:rPr>
        <w:t>E. 3.3</w:t>
      </w:r>
    </w:p>
    <w:p>
      <w:r>
        <w:t>Selon l’art. 35 LAI, les hommes et les femmes qui peuvent prétendre une rente d’invalidité ont droit à une rente pour chacun des enfants qui, au décès de ces personnes, auraient droit à la rente d’orphelin de l’assurance-vieillesse et survivants (al. 1).</w:t>
      </w:r>
    </w:p>
    <w:p>
      <w:r>
        <w:rPr>
          <w:b/>
        </w:rPr>
        <w:t>E. 3.4</w:t>
      </w:r>
    </w:p>
    <w:p>
      <w:r>
        <w:t>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4). Selon l’art. 7 al. 1 let. c de l’ordonnance du 15 janvier 1971 sur les prestations complémentaires à l’assurance-vieillesse, survivants et invalidité (OPC-AVS/AI - RS 831.301), la prestation complémentaire annuelle pour enfants donnant droit à une rente pour enfant de l’assurance-vieillesse et survivants (AVS), ou de l’assurance-invalidité (AI), est calculée séparément si l’enfant ne vit pas chez ses parents ou s’il vit chez celui des parents qui n’a pas droit à une rente, ni ne peut prétendre à l’octroi d’une rente complémentaire. Dans ce cas, il doit être tenu compte du revenu des parents, dans la mesure où il dépasse le montant nécessaire à leur propre entretien et à celui des autres membres de la famille à leur charge (art. 7 al. 2 OPC-AVS/AI). Le chiffre 3143.01 DPC précise que, dans ce genre de situations, la prestation complémentaire annuelle de l’enfant doit être calculée séparément pour autant que le bénéficiaire de rente ait son domicile et sa résidence habituelle en Suisse et que la fortune des parents ou du parent ayant droit à la rente ne dépasse pas le montant selon le ch. 2511.01 DPC (lequel reprend l’art. 9a al. 1 LPC, voir ci-dessous). À défaut, il n’existe aucun droit aux prestations complémentaires. Les enfants qui ont droit à une rente pour enfant de l'AI dépendant de celle d’un parent invalide, n'ont pas de droit propre à la prestation complémentaire ainsi calculée. Seules les personnes mentionnées à l'art. 4 LPC y ont droit, pour autant que les autres conditions soient remplies (ATF 139 V 170 consid. 5.2 p. 174 avec des références entre autres aux arrêts du Tribunal fédéral 9C_371/2011 du</w:t>
      </w:r>
    </w:p>
    <w:p>
      <w:r>
        <w:rPr>
          <w:b/>
        </w:rPr>
        <w:t>E. 3.5</w:t>
      </w:r>
    </w:p>
    <w:p>
      <w:r>
        <w:t>Selon l'art. 25 al. 1 2e phrase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La réalisation de la condition de la bonne foi, présumée en règle générale (art. 3 du Code civil suisse du 10 décembre 1907 [CC - RS 210] ; arrêt du Tribunal fédéral P.3/01 du 25 mai 2001 consid. 3b), doit être examinée dans chaque cas à la lumière des circonstances concrètes (arrêt du Tribunal fédéral 8C_269/2009 du 13 novembre 2009 consid. 5.2.1). La condition de la bonne foi doit être remplie dans la période où l’assuré concerné a reçu les prestations indues dont la</w:t>
      </w:r>
    </w:p>
    <w:p>
      <w:r>
        <w:t>A/535/2025 - 14/19 - restitution est exigée (arrêt du Tribunal fédéral 8C_954/2008 du 29 mai 2009 consid. 7.1).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avec les renvois). Il y a négligence grave quand un ayant droit ne se conforme pas à ce qui peut raisonnablement être exigé d'une personne capable de discernement dans une situation identique et dans les mêmes circonstances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8C_441/2023 du 21 décembre 2023 consid. 3.2.2). Selon l’art. 16 CC,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w:t>
      </w:r>
    </w:p>
    <w:p>
      <w:r>
        <w:t>A/535/2025 - 15/19 -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du Tribunal fédéral 9C_5/2016 du 12 février 2016 consid. 4.2). Le Tribunal fédéral a déjà eu l'occasion de juger qu'un délai de deux mois pour se conformer à son obligation de renseigner l'administration d'une augmentation de ses revenus relevait d'une négligence grave excluant la bonne foi (arrêt du Tribunal fédéral 8C_640/2023 précité consid. 6 et la référence). Selon l’art. 31 al. 1 LPGA, l’ayant droit, ses proches ou les tiers auxquels une prestation est versée sont tenus de communiquer à l’assureur ou, selon le cas, à l’organe compétent toute modification importante des circonstances déterminantes pour l’octroi d’une prestation.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3.6</w:t>
      </w:r>
    </w:p>
    <w:p>
      <w:r>
        <w:t>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La représentation devant l’assureur social pour la procédure administrative non contentieuse ne requiert pas de qualifications particulières (Anne-Sylvie DUPONT, in Commentaire romand Loi sur la partie générale des assurances sociales, 2018, n. 18 ad art. 37 LPGA). Il faut déduire de la formulation potestative de l'art. 37 al. 2 LPGA que l’existence d’une procuration écrite n’est pas une condition de validité des actes du représentant. Le rapport de représentation peut ainsi être le fait de pouvoirs conférés par oral, ou par actes</w:t>
      </w:r>
    </w:p>
    <w:p>
      <w:r>
        <w:t>A/535/2025 - 16/19 - concluants (DUPONT, op cit., n. 20 ad art. 37 LPGA). Sur le plan matériel, la représentation a pour effet que les actes accomplis par le représentant déploient leurs effets « dans le chef de l’[assuré]- représenté, comme si ce dernier avait agi lui- même » (DUPONT, op cit., n. 23 ad art. 37 LPGA). Sur le plan formel, l’art. 37 al. 3 LPGA, prescrit à l’assureur social d’adresser ses communications aux mandataires. Cette disposition sert ainsi la sécurité du droit, en supprimant les doutes quant à l’identité de la personne à laquelle il convient de notifier les actes (DUPONT, op cit., n. 24 ad art. 37 LPGA). Selon l'art. 61 let. f 1re phrase LPGA, le droit de se faire assister par un conseil doit être garanti dans le cadre de la procédure devant le tribunal cantonal des assurances, qui est réglée par le droit cantonal. Chaque partie a le droit d’être assistée ou représentée dans la procédure de recours par un mandataire de son choix. Le droit cantonal peut toutefois conférer à certaines catégories professionnelles, en particulier aux avocats, le monopole de la représentation en justice (Jean MÉTRAL, in Commentaire romand Loi sur la partie générale des assurances sociales, 2018, n. 80 ad art. 61 LPGA).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 2).</w:t>
      </w:r>
    </w:p>
    <w:p>
      <w:r>
        <w:rPr>
          <w:b/>
        </w:rPr>
        <w:t>E. 3.7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4. En l’espèce, l'intimé, par décision du 26 juin 2024, a recalculé le droit aux prestations complémentaires de la mère de l’intéressé avec effet rétroactif au 1er avril 2023 et conclu à la négation du droit auxdites prestations, en tout cas jusqu'au 30 avril 2024, et en corollaire à l'absence de droit aux subsides de l'assurance-maladie. Il lui a en conséquence réclamé la restitution de CHF 1'662.- au titre des réduction de primes d'assurance-maladie en faveur de son fils du 1er avril 2023 au 30 avril 2024, période durant laquelle celui-ci, né le 20 mars 2005, était majeur.</w:t>
      </w:r>
    </w:p>
    <w:p>
      <w:r>
        <w:t>A/535/2025 - 17/19 - En tant qu'enfant fondant le droit à une rente pour enfant de l'assurance-invalidité par le père qui est rentier de l'assurance-invalidité (art. 35 al. 1 LAI), le fils ne peut être considéré ni comme personne assurée par l'assurance-invalidité, ni comme personne disposant d'un droit primaire aux prestations complémentaires. L'ayant droit de ces prestations complémentaires est le bénéficiaire de la rente principale d'invalidité, à savoir son père. Ces prestations complémentaires pour enfant pour la période du 1er avril 2023 au 30 avril 2024 ont été calculées séparément sur la base de l'art. 7 al. 1 let. c OPC-AVS/AI, et versées en mains de sa mère. Cette dernière n'est pas un tiers qualifié au sens de l'art. 20 al. 1 LPGA puisqu'elle ne répond d'aucune obligation légale ou morale d'entretien à l'égard du père, qui est l'unique ayant droit des prestations complémentaires. Cela étant, les rentes complémentaires pour enfant du premier pilier ont été versées directement à la mère, conformément aux règles spéciales prévues à l'art. 71ter RAVS, étant relevé que la majorité du fils n'a pas modifié le mode de versement appliqué jusque-là. Dans la mesure où les prestations complémentaires litigieuses ont également été versées directement à la mère, ce que le fils a confirmé lors de l’audience du 9 juillet 2025 (procès-verbal du même jour p. 3), celle-ci doit être reconnue comme la seule personne soumise à l'obligation de restituer au sens de l'art. 2 al. 1 let. b OPGA en relation avec l'art. 71ter RAVS par analogie. C'est partant à juste titre que la décision de restitution lui a été notifiée. Dans le cadre de la remise de l’obligation de restituer, il y a lieu d'examiner la bonne foi de la personne tenue à restitution, c'est-à-dire celle de la mère. La demande de remise du 31 août 2024 a été rédigée par le fils, majeur, en son nom propre. Il y expliquait que sa mère présentait des problèmes de santé. Il y a lieu de considérer qu'il a été chargé de la représenter auprès de l'intimé pour la procédure de la remise de l'obligation de restituer, puisque jusque-là, la mère se chargeait des communications à l’intimé et ce dernier adressait à celle-ci directement toute la correspondance, y compris les décisions, concernant le fils. La décision du 19 novembre 2024, par laquelle l'intimé refusait d'accorder la remise, et celle sur opposition du 12 février 2025 ont donc été notifiées au fils, en sa qualité de représentant de sa mère. De même, il y a lieu de retenir que le fils a formé recours contre cette dernière décision auprès de la chambre de céans au nom et pour le compte de sa mère. Dès lors que le fils a agi comme mandataire de sa mère dans le cadre de la procédure contentieuse, il convient de procéder à la rectification du nom de la partie recourante, en A______. Ceci étant précisé, en faisant preuve de l'attention exigible de sa part, il ne pouvait échapper à la mère que les revenus réalisés par son fils durant la période litigieuse, dès le 1er avril 2023, constituaient un fait important propre à modifier le montant des prestations complémentaires versées. Pour cette raison, elle aurait dû renseigner l'intimé à ce sujet, ce d'autant plus que les décisions de prestations complémentaires successives l'invitaient à contrôler attentivement les montants</w:t>
      </w:r>
    </w:p>
    <w:p>
      <w:r>
        <w:t>A/535/2025 - 18/19 - indiqués dans les plans de calcul afin de s'assurer qu'ils correspondaient bien à la situation réelle, tout en soulignant qu'en cas d'omission ou de retard dans la transmission d'informations susceptibles de modifier le droit aux prestations, elle s'exposait à une demande de restitution des prestations indûment versées. Or, elle n'a communiqué lesdits revenus à l'intimé que le 15 mai 2024, soit plus d'une année après. Dans ces circonstances, elle ne peut pas se prévaloir de sa bonne foi, ce qui exclut la remise de l'obligation de restituer. L’atteinte à la santé psychique de la mère de l’intéressé ne modifie pas cette appréciation. En effet, il ressort du rapport d’expertise du 20 mai 2025 (dont les conclusions ne sont remises en cause par aucun rapport médical au dossier) qu’elle n’était pas limitée pour la planification et la structuration des tâches, ni pour la mise en pratique des compétences et des connaissances professionnelles, ni pour la capacité à porter des jugements et à prendre des décisions (p. 19). Par ailleurs, durant la période litigieuse du 1er avril 2023 au 30 avril 2024, la mère a rédigé des courriers à l’intimé, dont en dernier lieu celui du 17 avril 2024 par lequel elle informait l’administration du fait que son fils était encore scolarisé (dossier SPC pièce 49). Lors de l’audience du 9 juillet 2025, l’intéressé a confirmé avoir repris la gestion du dossier en septembre 2024 (procès-verbal du même jour p. 1), après la période litigieuse, et que sa mère savait qu’il effectuait un travail d’étudiant (p. 2). Force est de conclure que la mère était en mesure de s’occuper des affaires administratives pendant la période ici litigieuse et qu’elle n’était pas privée de la faculté de saisir la portée de l’obligation de renseigner l’autorité et de s’y conformer.</w:t>
      </w:r>
    </w:p>
    <w:p>
      <w:r>
        <w:rPr>
          <w:b/>
        </w:rPr>
        <w:t>E. 5</w:t>
      </w:r>
    </w:p>
    <w:p>
      <w:r>
        <w:t>Au vu de ce qui précède, le recours sera rejeté. Pour le surplus, la procédure est gratuite (art. 61 let. fbis LPGA a contrario).</w:t>
      </w:r>
    </w:p>
    <w:p>
      <w:r>
        <w:t>A/535/2025 - 19/19 -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