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ATAS/890/2024 vom 15. November 2024</w:t>
      </w:r>
    </w:p>
    <w:p>
      <w:r>
        <w:t>GE Cour de justice, 2024-11-15, FR</w:t>
      </w:r>
    </w:p>
    <w:p>
      <w:r>
        <w:rPr>
          <w:b/>
        </w:rPr>
        <w:t xml:space="preserve">Quelle: </w:t>
      </w:r>
      <w:r>
        <w:t>https://mcp.opencaselaw.ch/entscheid/ge_gerichte_ATAS_890_2024</w:t>
      </w:r>
    </w:p>
    <w:p>
      <w:r>
        <w:t>FR: GE_GERICHTE ATAS/890/2024 du 15 novembre 2024</w:t>
      </w:r>
    </w:p>
    <w:p>
      <w:r>
        <w:t>IT: GE_GERICHTE ATAS/890/2024 del 15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de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2</w:t>
      </w:r>
    </w:p>
    <w:p>
      <w:r>
        <w:t>Le litige porte sur le droit du recourant à des prestations de l'assurance-invalidité dès le 1er janvier 2024, plus particulièrement sur la question de savoir si l'intimé a correctement instruit le dossier et fixé son degré d'invalidité.</w:t>
      </w:r>
    </w:p>
    <w:p>
      <w:r>
        <w:rPr>
          <w:b/>
        </w:rPr>
        <w:t>E. 3</w:t>
      </w:r>
    </w:p>
    <w:p>
      <w:r>
        <w:t>novembre 2021 du règlement sur l’assurance-invalidité du 17 janvier 1961 (RAI - RS 831.201 ; RO 2021 706) sont entrées en vigueur. Le RAI a connu une nouvelle modification le 18 octobre 2023, entrée en vigueur le 1er janvier 2024 (RO 2023 635).</w:t>
      </w:r>
    </w:p>
    <w:p>
      <w:r>
        <w:t>A/1264/2024 - 7/15 -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janvier 2024, soit six mois après le dépôt de la demande du 7 juillet 2023 (cf. art. 29 al. 1 LAI), de sorte que les dispositions légales applicables seront citées dans leur nouvelle teneur et, s'agissant du RAI, dans sa teneur en vigueur dès le 1er janvier 2024.</w:t>
      </w:r>
    </w:p>
    <w:p>
      <w:r>
        <w:rPr>
          <w:b/>
        </w:rPr>
        <w:t>E. 3.1</w:t>
      </w:r>
    </w:p>
    <w:p>
      <w:r>
        <w:t>Le 1er janvier 2022,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3.3</w:t>
      </w:r>
    </w:p>
    <w:p>
      <w:r>
        <w:t>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(arrêt du Tribunal fédéral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w:t>
      </w:r>
    </w:p>
    <w:p>
      <w:r>
        <w:t>A/1264/2024 - 8/15 - À ce titre, l'art. 43 LPGA énonce que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1bis). Selon l'art. 69 al. 2 RAI,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instruction sur place peuvent être exigés ou effectués. Il revient aux services médicaux régionaux d'évaluer les conditions médicales du droit aux prestations. Ils sont libres dans le choix de la méthode d'examen appropriée, dans le cadre de leurs compétences médicales et des directives spécialisées de portée générale de l'Office fédéral des assurances sociales (ci-après : OFAS) (art. 49 al. 1 RAI). Selon la circulaire sur la procédure dans l'assurance-invalidité (ci-après : CPAI) établie par l'OFAS, la portée de l’instruction médicale dépend du tableau clinique, de la complexité du cas et du type de prestation AI envisagée. L’instruction porte en principe sur les aspects suivants : atteinte à la santé (expression des symptômes, gravité, facteurs non pris en considération par l’assurance) ; diagnostic ; limitations fonctionnelles et impact sur la capacité de travail (en fonction du taux d’occupation et des tâches de l’assuré, mais aussi des éventuelles possibilités d’adaptation du poste de travail) ; ressources de l’assuré ; possibilités éventuelles de réadaptation ou d’exercice d’une activité adaptée ; anamnèse succincte ; informations sur le quotidien de l’assuré ; description du traitement et du plan de traitement (date de début, thérapie suivie jusque-là, pronostic, type et fréquence du traitement, médicaments et dosages prescrits, prise des médicaments, efficacité, changements de thérapie prévus ou opérés, objectifs thérapeutiques) ; thérapies et traitements médicaux suivis ; incapacités de travail (ch. 3049 CPAI, dans sa version en vigueur au 1er janvier 2024). D'après le ch. 3051 CPAI, les informations peuvent être obtenues en demandant un rapport médical ou des documents médicaux déjà disponibles (rapports de consultation, rapports d’opération et de sortie, documents de l’AMal, de la Suva, etc.) ou en ayant un entretien avec le médecin traitant. Les informations fournies oralement doivent être consignées conformément au ch. 6026, lequel prévoit que, dans les cas où l’audition [à la suite du préavis rendu par l'office AI selon l'art. 57a LAI] a lieu oralement, dans le cadre d’un entretien personnel, l’office AI établit un procès-verbal sommaire qui est signé par l’assuré. L'assureur n'a pas à épuiser toutes les possibilités d'investigations, s'il estime, par une appréciation anticipée des preuves fournies par les investigations auxquelles il a déjà procédé, que certains faits présentent le degré de preuve requis par les</w:t>
      </w:r>
    </w:p>
    <w:p>
      <w:r>
        <w:t>A/1264/2024 - 9/15 - circonstances et que d'autres mesures probatoires ne pourraient plus modifier cette appréciation. À l'inverse, l'assureur ne peut renoncer à mettre en œuvre des mesures d'instruction complémentaires, lorsqu'il apparaît, sur la base du dossier ou des allégations de la personne assurée, que les faits pertinents n'ont pas été établis de manière correcte et complète ou qu'il existe des contradictions insurmontables (Jacques Olivier PIGUET, in Commentaire romand de la loi sur la partie générale des assurances sociales, 2018, n. 12 ad art. 43 LPGA). Selon la jurisprudence,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Ainsi,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Tribunal fédéral 9C_58/2011 du 25 mars 2011 consid. 3.3 ; ATAS/693/2019 du 30 juillet 2019 consid. 6g).</w:t>
      </w:r>
    </w:p>
    <w:p>
      <w:r>
        <w:rPr>
          <w:b/>
        </w:rPr>
        <w:t>E. 3.4</w:t>
      </w:r>
    </w:p>
    <w:p>
      <w:r>
        <w:t>Dans le cadre du développement continu de l'AI, la LAI et le RAI ont connu plusieurs modifications (cf. consid. 3.1). À son art. 54a al. 3, la LAI prévoit désormais que les SMR établissent les capacités fonctionnelles de l’assuré qui sont déterminantes pour l’assurance-invalidité en vertu de l’art. 6 LPGA, pour l’exercice d’une activité lucrative raisonnablement exigible ou pour l’accomplissement des travaux habituels. L'art. 49 al. 1bis RAI précise que lors de la détermination des capacités fonctionnelles au sens de cette disposition, la capacité de travail attestée médicalement pour l’activité exercée jusque-là et pour les activités adaptées est évaluée et justifiée en tenant compte, qualitativement et quantitativement, de toutes les ressources et limitations physiques, mentales ou psychiques. La capacité fonctionnelle de l'assuré revêt une place centrale dans le système ainsi mis en place, car elle permet notamment de quantifier la déduction à opérer sur le revenu avec invalidité au sens de l'art. 26bis al. 3 RAI, à savoir déterminer si une réduction de 10% ou de 20% doit être accordée, la seconde hypothèse trouvant</w:t>
      </w:r>
    </w:p>
    <w:p>
      <w:r>
        <w:t>A/1264/2024 - 10/15 - application lorsque, du fait de l’invalidité, l’assuré ne peut travailler qu’avec une capacité fonctionnelle de 50% ou moins. Selon le rapport explicatif de l'OFAS du 18 octobre 2023 rendu après la procédure de consultation, la nouvelle modification du RAI entrée en vigueur le 1er janvier 2024 avait pour but d'introduire une méthode de calcul sous la forme d'une déduction forfaitaire permettant, lors de la détermination du revenu avec invalidité au moyen de valeurs statistiques, de tenir compte des possibilités de revenu réelles des personnes atteintes dans leur santé (ch. 3, p. 5). L'OFAS a indiqué que, dans ce cadre, les médecins du SMR compétent doivent procéder à une évaluation complète de la capacité fonctionnelle restante de l’assuré en se basant sur les rapports des médecins traitants, le cas échéant sur leurs propres examens et, au besoin, sur les expertises de médecins spécialistes. Pour ce faire, ils prennent en compte tous les facteurs médicaux limitant la capacité fonctionnelle, mais aussi, depuis l’entrée en vigueur du développement continu de l'AI le 1er janvier 2022, les limitations dues à l’atteinte à la santé. Autrement dit, toute limitation quantitative ou qualitative due à l’invalidité lors de l’exercice d’une activité lucrative (par ex. besoin de davantage de pauses, limites d’effort, ralentissement en comparaison avec une personne en bonne santé, âge, gravité de la maladie, atteintes à la santé particulièrement importantes, etc.) est évaluée et consignée. Ainsi, la capacité fonctionnelle est déterminée tant à partir des facteurs médicaux que des limitations qualitatives et quantitatives dues à l’atteinte à la santé ; elle est prise en compte dans le calcul du revenu avec invalidité (ch. 4.1, p. 8).</w:t>
      </w:r>
    </w:p>
    <w:p>
      <w:r>
        <w:rPr>
          <w:b/>
        </w:rPr>
        <w:t>E. 3.5</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w:t>
      </w:r>
    </w:p>
    <w:p>
      <w:r>
        <w:t>A/1264/2024 - 11/15 -</w:t>
      </w:r>
    </w:p>
    <w:p>
      <w:r>
        <w:rPr>
          <w:b/>
        </w:rPr>
        <w:t>E. 4</w:t>
      </w:r>
    </w:p>
    <w:p>
      <w:r>
        <w:t>En l'espèce, l'intimé a nié au recourant le droit à des prestations de l'assurance-invalidité, au motif qu'il n'atteignait pas le degré d'invalidité requis, après avoir pris en compte une capacité de travail entière dans une activité adaptée et une diminution de rendement de 30%. L'intimé s'est ainsi appuyé sur les conclusions médicales du SMR, lequel avait retenu qu'au vu des faibles ressources et de la fatigue du recourant, une diminution de rendement de 30% au maximum pouvait être admise, la capacité de travail médico-théorique étant entière dans une activité adaptée. Il sied de constater que le premier rapport écrit de la Dre B______ et les différents documents médicaux récoltés dans le cadre de l'instruction du dossier ne donnent pas d'indications chiffrées quant à la capacité de travail du recourant dans une activité adaptée, ni ne renseignent sur ses limitations fonctionnelles, celles-ci devant, selon la médecin traitante, être évaluées. Le rapport du 29 septembre 2023 cite cependant plusieurs antécédents médicaux et des diagnostics affectant la capacité de travail du recourant. Le SMR a ensuite complété l'instruction du dossier en téléphonant à la Dre B______, laquelle aurait alors affirmé que le recourant avait une capacité de travail entière dans une activité adaptée sans port de charges lourdes et position debout statique prolongée. S'il n'était pas interdit au SMR d'échanger oralement avec la médecin traitante dans le cadre de l'instruction du dossier, un tel procédé étant réservé par l'art. 43 al. 1 LPGA, l'entretien téléphonique devait néanmoins faire l'objet d'un procès-verbal écrit signé par l'intéressée, conformément au ch. 3051 CPAI. Une telle injonction paraît en effet fondamentale afin de garantir, d'une part, la véracité des informations reportées et, d'autre part, d'assurer un temps de réflexion à la personne s'étant exprimée. Or, en l'occurrence, cette prescription de forme n'a pas été respectée et la Dre B______ s'est précisément plainte de ce qu'elle n'avait pas été préparée à l'objet de la conversion. Par la suite, dans son rapport du 16 février 2024, la médecin traitante a affirmé ne pas être en mesure d'évaluer la capacité de travail du recourant, aucun diagnostic n'ayant un impact clair à cet égard au vu du caractère non séquellaire des AVC. Elle a néanmoins indiqué qu'un ensemble de facteurs rendait son insertion professionnelle difficile à envisager et a cité à ce titre un déficit global de force, un faible niveau scolaire et des difficultés de compréhension, relevant en outre que le bilan neuropsychologique – qu'elle n'avait pas – était important car il permettrait d'exclure une composante vasculaire aux difficultés mnésiques du recourant. Elle a enfin relevé que l'évaluation de la capacité de travail de ce dernier devait se faire par le biais d'un stage d'évaluation professionnelle. Au vu de ce qui précède, la chambre de céans estime que le SMR n'avait pas suffisamment d'éléments fiables permettant de retenir une capacité de travail</w:t>
      </w:r>
    </w:p>
    <w:p>
      <w:r>
        <w:t>A/1264/2024 - 12/15 - entière du recourant dans une activité adaptée. Le rapport du 16 février 2024 de la Dre B______ ne confirme en effet pas ses précédentes déclarations orales à ce propos mais demande qu'un stage d'évaluation professionnelle soit réalisé, de sorte qu'une telle conclusion est sujette à caution. Par ailleurs, alors que, dans son premier avis, le SMR ne s'était pas prononcé en faveur d'une baisse de rendement, il l'a fait après réception du rapport du 16 février 2024 de la Dre B______, et a fixé la diminution à 30% au maximum, taux qui a été repris par l'intimé dans ses calculs. Cependant, compte tenu des indications données par la médecin dans ce rapport, l'on ignore de quelle manière le SMR a apprécié que les faibles ressources et la fatigue du recourant impliquaient une diminution de rendement s'élevant à 30% au maximum. Il faut en outre relever que la Dre B______ mentionnait, à titre de facteurs rendant difficile l'insertion professionnelle du recourant, un déficit global de force et des difficultés de compréhension, lesquelles, compte tenu du bilan neuropsychologique réalisé, pourraient avoir un substrat médical et pourraient devoir être prises en compte. L'avis du SMR n'est par ailleurs pas suffisamment détaillé pour savoir si la fatigue qu'il a admise se recoupe avec le manque global de force évoqué par la Dre B______. Bien que la maxime inquisitoire applicable en matière d'assurances sociales laisse à l'intimé une certaine latitude pour déterminer la nature et l'étendue des mesures d'instruction nécessaires, elle lui impose aussi, si les pièces au dossier ne contiennent pas d'indications claires, de poursuivre l'instruction médicale. Tel aurait précisément dû être le cas en l'espèce, puisque les renseignements recueillis ne permettaient pas de se prononcer de manière concluante sur les diagnostics incapacitants, les limitations fonctionnelles qu'ils engendraient, leurs répercussions sur la capacité de travail dans une activité adaptée et l'éventuelle diminution de rendement. En particulier, l'avis médical final du SMR du</w:t>
      </w:r>
    </w:p>
    <w:p>
      <w:r>
        <w:rPr>
          <w:b/>
        </w:rPr>
        <w:t>E. 5</w:t>
      </w:r>
    </w:p>
    <w:p>
      <w:r>
        <w:t>Compte tenu de ce qui précède, le recours sera partiellement admis et la décision du 12 mars 2024 sera annulée.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w:t>
      </w:r>
    </w:p>
    <w:p>
      <w:r>
        <w:t>A/1264/2024 - 14/15 - Au vu du sort du recours, il y a lieu de condamner l'intimé au paiement d'un émolument de CHF 200.- (art. 69 al. 1bis LAI).</w:t>
      </w:r>
    </w:p>
    <w:p>
      <w:r>
        <w:t>******</w:t>
      </w:r>
    </w:p>
    <w:p>
      <w:r>
        <w:t>A/1264/2024 - 15/15 -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