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ATAS/890/2017 vom 11. Oktober 2017</w:t>
      </w:r>
    </w:p>
    <w:p>
      <w:r>
        <w:t>GE Cour de justice, 2017-10-11, FR</w:t>
      </w:r>
    </w:p>
    <w:p>
      <w:r>
        <w:rPr>
          <w:b/>
        </w:rPr>
        <w:t xml:space="preserve">Quelle: </w:t>
      </w:r>
      <w:r>
        <w:t>https://mcp.opencaselaw.ch/entscheid/ge_gerichte_ATAS_890_2017</w:t>
      </w:r>
    </w:p>
    <w:p>
      <w:r>
        <w:t>FR: GE_GERICHTE ATAS/890/2017 du 11 octobre 2017</w:t>
      </w:r>
    </w:p>
    <w:p>
      <w:r>
        <w:t>IT: GE_GERICHTE ATAS/890/2017 del 11 ottobre 2017</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b. 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les personnes morales, le for est celui de leur siège (art. 10 al. 1 let. a/b CPC), étant précisé que l’art. 17 al. 1 CPC consacre la possibilité d’une élection de for écrite. c. Selon la police d'assurance liant Helsana à l'employeur du demandeur, le contrat est régi par la LCA. La chambre de céans est donc compétente à raison de la matière pour connaître de son recours et également à raison du lieu, le recourant ayant son domicile à Genève.</w:t>
      </w:r>
    </w:p>
    <w:p>
      <w:r>
        <w:rPr>
          <w:b/>
        </w:rPr>
        <w:t>E. 2</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 Pour le surplus, la procédure simplifiée s'applique aux litiges portant sur des assurances complémentaires à l’assurance-maladie sociale au sens de la LAMal (art. 243 al. 2 let. f CPC).</w:t>
      </w:r>
    </w:p>
    <w:p>
      <w:r>
        <w:t>A/4328/2016 - 5/7 -</w:t>
      </w:r>
    </w:p>
    <w:p>
      <w:r>
        <w:rPr>
          <w:b/>
        </w:rPr>
        <w:t>E. 3</w:t>
      </w:r>
    </w:p>
    <w:p>
      <w:r>
        <w:t>a. En l'espèce, l'assuré a interjeté à tort un « recours contre le refus d’Helsana de lui allouer des indemnités journalières maladie dès le 1er avril 2016 ». En effet, dans le cadre d'un litige fondé sur la LCA, l'assuré doit saisir directement l'autorité judiciaire par voie d'une action qui doit être intentée dans les deux ans à compter du fait d'où naît l'obligation (art. 46 al. 1 LCA), ce délai pouvant être interrompu selon les règles générales du droit privé. En matière d'assurance collective contre les accidents ou la maladie, l'art. 87 LCA – de nature impérative (cf. art. 98 LCA) – confère un droit propre à l’assuré, qu’il peut faire valoir directement contre l’assureur (ATF 141 III 112 consid. 4.3; entre autres auteurs : Vincent BRULHART, L'assurance collective contre la perte de gain en cas de maladie, in Le droit social dans la pratique de l'entreprise, 2006, p. 103). Cette disposition institue une créance indépendante au profit de l'ayant droit, créance qui naît au moment de la survenance du cas d'assurance. Malgré cette erreur dans le libellé de l’acte, celui-ci peut être considéré comme une demande, dès lors qu'il respecte les conditions de forme requises (art. 244 et 130 CPC). b. Il convient encore d’examiner la recevabilité de cette demande, dès lors que l’assuré n’articule aucun montant dans le cadre de ses conclusions. À cet égard, il convient de rappeler que les conclusions doivent être déterminées avec suffisamment de précision ; ainsi celles qui portent sur une somme d’argent doivent être chiffrées, conformément à l’art. 84 al. 2 CPC (ATF 134 III 235 consid. 2; arrêt du Tribunal fédéral 5A_11/2014 du 3 juillet 2014 consid. 1.2; Laurent KILLIAS, Berner Kommentar, Schweizerische Zivilprozessordnung, Band I : art. 1-149 ZPO, 2012, n. 9 ad art. 221 CPC; François BOHNET, Code de procédure civile commenté, 2011, n. 17 ad art. 84 CPC). Il s’agit d’une condition de recevabilité (BOHNET, op. cit., n. 25 ad art. 85 CPC). La règle n’est certes pas absolue et l’art. 85 CPC prévoit que le demandeur peut ne pas prendre de conclusions chiffrées lorsqu’il lui est impossible d’articuler d’entrée de cause le montant de ses prétentions, parce que, par exemple, les informations lui permettant de l’articuler sont en mains du défendeur ou d’un tiers ou qu’il serait déraisonnable de le lui demander, notamment en raison d’investigations lourdes et coûteuses ou lorsque le dommage n’est pas clairement connu (BOHNET, op. cit., nn. 6, 7 et 13 ad art. 85 CPC). Dans ce cas, le demandeur doit tout de même tenter de chiffrer ses prétentions, puisqu’il doit indiquer une valeur litigieuse minimale aux termes de l’art. 85 al. 1 in fine CPC (KILLIAS, op. cit., n. 10 ad art. 221 CPC; BOHNET, op. cit., n. 18 ad art. 85 CPC ; David HOFFMANN/Christian LÜSCHER, Le Code de procédure civile, 2015, p. 60). Exceptionnellement, des conclusions non chiffrées suffisent lorsque la somme à allouer est d’emblée reconnaissable au regard de la motivation du recours ou de la décision attaquée (ATF 134 III 235 consid. 2 et les références citées; arrêt du Tribunal fédéral 5A_11/2014 du 3 juillet 2014 consid. 1.2). Toutefois, dans deux</w:t>
      </w:r>
    </w:p>
    <w:p>
      <w:r>
        <w:t>A/4328/2016 - 6/7 - affaires d’assurance maladie collective perte de gain, le Tribunal fédéral a jugé irrecevables les conclusions d’assurés tendant simplement aux « prestations découlant du contrat d’assurance n. 50'123’083 » (ATF 134 III 235 consid. 2) ou ordonnant « à [l’assurance] de calculer et de verser l’indemnité journalière en cas de maladie au demandeur, dès le 30 août 2004, plus intérêts à 5% dès la même date » (arrêt du Tribunal fédéral 4A_107/2008 du 5 juin 2008). Quiconque participe à la procédure doit se conformer aux règles de la bonne foi (art. 52 CPC). En particulier, les actes de procédure des parties doivent être interprétés conformément à ces règles (ATF 105 II 149 consid. 2a in JdT 1980 I 177).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in JdT 2011 IV 17). L'interdiction du formalisme excessif impose de ne pas se montrer trop strict dans la formulation des conclusions si, à la lecture du mémoire, on comprend clairement ce que veut le recourant ; tel est en particulier le cas lorsque le but et l'objet du recours, ou – en cas de conclusions qui doivent être chiffrées – le montant requis, ressortent sans aucun doute des motifs invoqués, éventuellement associés à la décision attaquée. Les conclusions doivent être interprétées à la lumière de la motivation (ATF 137 III 617 consid. 6.2 in JdT 2014 II 187 et SJ 2012 I 373). Dans l’interprétation selon le principe de la bonne foi, l’autorité peut tenir compte du fait que le demandeur n’est pas représenté par un avocat et a rédigé lui-même ses conclusions (arrêt du Tribunal fédéral 4A_551/2008 du 12 mai 2009 consid. 2.3). c. En l’occurrence, l’assuré était assisté d’un conseil lorsqu’il a saisi la chambre de céans. Dans sa réponse du 26 janvier 2017, Helsana a conclu à l’irrecevabilité de la demande faute de conclusions chiffrées. Cela aurait permis au conseil du demandeur de chiffrer la demande de l’assuré dans sa réplique du 21 février 2017, ce qu’il n’a pas fait. Dans la mesure où le montant requis ne ressort pas clairement des motifs invoqués par le demandeur, même associés à la décision attaquée, sa demande est irrecevable.</w:t>
      </w:r>
    </w:p>
    <w:p>
      <w:r>
        <w:rPr>
          <w:b/>
        </w:rPr>
        <w:t>E. 4</w:t>
      </w:r>
    </w:p>
    <w:p>
      <w:r>
        <w:t>La procédure est gratuite (art. 114 let. e CPC et 22 al. 3 let. b LaCC).</w:t>
      </w:r>
    </w:p>
    <w:p>
      <w:r>
        <w:t>A/4328/2016 - 7/7 -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