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ATAS/890/2015 vom 19. November 2015</w:t>
      </w:r>
    </w:p>
    <w:p>
      <w:r>
        <w:t>GE Cour de justice, 2015-11-19, FR</w:t>
      </w:r>
    </w:p>
    <w:p>
      <w:r>
        <w:rPr>
          <w:b/>
        </w:rPr>
        <w:t xml:space="preserve">Quelle: </w:t>
      </w:r>
      <w:r>
        <w:t>https://mcp.opencaselaw.ch/entscheid/ge_gerichte_ATAS_890_2015</w:t>
      </w:r>
    </w:p>
    <w:p>
      <w:r>
        <w:t>FR: GE_GERICHTE ATAS/890/2015 du 19 novembre 2015</w:t>
      </w:r>
    </w:p>
    <w:p>
      <w:r>
        <w:t>IT: GE_GERICHTE ATAS/890/2015 del 19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 ss LPGA.</w:t>
      </w:r>
    </w:p>
    <w:p>
      <w:r>
        <w:rPr>
          <w:b/>
        </w:rPr>
        <w:t>E. 5</w:t>
      </w:r>
    </w:p>
    <w:p>
      <w:r>
        <w:t>Est litigieuse en l'espèce la réduction de la rente d'invalidité versée au recourant. Singulièrement, il convient d'examiner si les conditions d'une révision du droit à la rente sont présentement remplies.</w:t>
      </w:r>
    </w:p>
    <w:p>
      <w:r>
        <w:t>A/736/2015 - 10/17 -</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w:t>
      </w:r>
    </w:p>
    <w:p>
      <w:r>
        <w:t>A/736/2015 - 11/17 -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A/736/2015 - 12/17 -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il ressort de la décision initiale que la rente a été octroyée à l’origine pour des raisons exclusivement psychiques, à savoir un état borderline. Par la suite, à deux reprises, la rente a été reconduite au motif que l’état de santé de l’assuré était demeuré inchangé. Les diagnostics ont cependant légèrement varié dans le temps (personnalité dyssociale et trouble dépressif récurrent moyen en 1998, état borderline en phase de décompensation et syndrome anxio-dépressif moyen en 2007). L’intimé s’est basé sur l’expertise de la Dresse F______ pour conclure à une amélioration ayant entraîné une augmentation de la capacité de travail et de gain de l’intéressé. Il est vrai que ce médecin conclut à une amélioration. Il est néanmoins troublant de constater que, selon la Dresse F______, ladite amélioration remonterait à 2002, soit à un moment antérieur à la seconde révision de rente (qui s’est terminée le 20 juillet 2007, par la conclusion que l’état de l’assuré était inchangé). Force est de constater qu’au moment de la réduction de rente litigieuse, le tableau clinique présenté par le recourant, tel que décrit par son médecin traitant, ne diffère pas fondamentalement de celui présenté à l'époque de son octroi. Seule la Dresse F______ tire des conclusions contraires, lesquelles sont sujettes à caution. En premier lieu, c’est à juste titre que le recourant relève que l’experte a manifestement sous-estimé les traumatismes qu’il a traversés. Il apparaît particulièrement malvenu de retenir comme le fait l’experte que les relations sexuelles que l’assuré a entretenues alors qu’il n’était âgé que de douze ans et avec plusieurs adultes des deux sexes auraient pu être « consenties ». Il est vrai qu’il ne s’agit là « que » d’un élément d’anamnèse mais il est révélateur du fait que l’experte a sous-évalué la situation. En second lieu, l’experte conclut que la personnalité borderline du recourant se serait lentement améliorée depuis 2000, sans jamais justifier cette appréciation, qui va pourtant à l’encontre des autres documents médicaux versés au dossier qui, tous, font mention d’un état stationnaire. Les seuls éléments évoqués par l’experte à l’appui de sa thèse sont le fait que le recourant s’est marié en 2002 - élément factuel et non médical - et une amélioration de la thymie qui remonterait à 2000 et que rien ne vient corroborer au dossier.</w:t>
      </w:r>
    </w:p>
    <w:p>
      <w:r>
        <w:t>A/736/2015 - 13/17 - En troisième lieu, comme déjà indiqué, l’experte fait remonter l’amélioration à une date antérieure à la dernière révision, sans fournir d’explication sur les divergences avec les médecins traitants. Pourtant, les conclusions des médecins et psychiatres traitants sont claires : l’état du recourant est demeuré stationnaire. Enfin, on relèvera que la division de réadaptation de l’intimé a constaté elle-même que l’assuré se trouvait dans un état psychique tel qu’on pouvait craindre des actes auto- ou hétéro- agressifs de sa part. Certes, il ne s’agit pas là de constatations médicales mais bien d’un indice supplémentaire, s’ajoutant à ceux déjà mentionnés, donnant à penser que l’experte a bel et bien sous-évalué la situation. Dans ces circonstances, il convient de conclure qu’il n'existe pas de modification notable de l'état de santé de l'assuré au sens de l'art. 17 LPGA et de la jurisprudence y relative citée ci-avant autorisant une révision du droit à la rente : seule l'appréciation médicale diffère entre le moment de l'octroi de la rente, des révisions qui ont suivi et celui de la révision litigieuse.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w:t>
      </w:r>
    </w:p>
    <w:p>
      <w:r>
        <w:rPr>
          <w:b/>
        </w:rPr>
        <w:t>E. 10</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w:t>
      </w:r>
    </w:p>
    <w:p>
      <w:r>
        <w:t>A/736/2015 - 14/17 -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w:t>
      </w:r>
    </w:p>
    <w:p>
      <w:r>
        <w:t>A/736/2015 - 15/17 -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w:t>
      </w:r>
    </w:p>
    <w:p>
      <w:r>
        <w:rPr>
          <w:b/>
        </w:rPr>
        <w:t>E. 11</w:t>
      </w:r>
    </w:p>
    <w:p>
      <w:r>
        <w:t>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w:t>
      </w:r>
    </w:p>
    <w:p>
      <w:r>
        <w:rPr>
          <w:b/>
        </w:rPr>
        <w:t>E. 12</w:t>
      </w:r>
    </w:p>
    <w:p>
      <w:r>
        <w:t>En l’espèce, pour octroyer la rente, l'OAI s'est basé sur les rapports des médecin et psychiatre traitants du recourant. Lors des deux révisions subséquentes, il s’est également basé sur des documents médicaux dont il ressortait clairement qu’aucune amélioration n’avait été constatée. Dès lors, les décisions précédentes de l’OAI, fondées sur des documents médicaux clairs, n’étaient pas manifestement erronées, ce que l’intimé ne soutient d’ailleurs pas. Ainsi, en l’absence d’un motif de révision ou de reconsidération de la décision du</w:t>
      </w:r>
    </w:p>
    <w:p>
      <w:r>
        <w:rPr>
          <w:b/>
        </w:rPr>
        <w:t>E. 14</w:t>
      </w:r>
    </w:p>
    <w:p>
      <w:r>
        <w:t>juin 2010, la rente entière d’invalidité accordée au recourant doit être maintenue. 13. Au vu de ce qui précède, le recours sera admis et la décision 29 janvier 2015 annulée. Le recourant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A/736/2015 - 16/17 -</w:t>
      </w:r>
    </w:p>
    <w:p>
      <w:r>
        <w:t>A/736/2015 - 17/17 -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