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ATAS/88/2022 vom 7. Februar 2022</w:t>
      </w:r>
    </w:p>
    <w:p>
      <w:r>
        <w:t>GE Cour de justice, 2022-02-07, FR</w:t>
      </w:r>
    </w:p>
    <w:p>
      <w:r>
        <w:rPr>
          <w:b/>
        </w:rPr>
        <w:t xml:space="preserve">Quelle: </w:t>
      </w:r>
      <w:r>
        <w:t>https://mcp.opencaselaw.ch/entscheid/ge_gerichte_ATAS_88_2022</w:t>
      </w:r>
    </w:p>
    <w:p>
      <w:r>
        <w:t>FR: GE_GERICHTE ATAS/88/2022 du 7 février 2022</w:t>
      </w:r>
    </w:p>
    <w:p>
      <w:r>
        <w:t>IT: GE_GERICHTE ATAS/88/2022 del 7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Dès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octobre 2017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A/103/2020 - 21/24 -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Le litige porte sur le bien-fondé de la décision de l’OAI du 26 novembre 2019, refusant d’accorder des prestations invalidité à la recourante.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A/103/2020 - 8/24 -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A/103/2020 - 22/24 -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w:t>
      </w:r>
    </w:p>
    <w:p>
      <w:r>
        <w:t>A/103/2020 - 10/24 -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w:t>
      </w:r>
    </w:p>
    <w:p>
      <w:r>
        <w:t>A/103/2020 - 11/24 -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A/103/2020 - 12/24 -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w:t>
      </w:r>
    </w:p>
    <w:p>
      <w:r>
        <w:t>A. Limitation uniforme du niveau des activités dans tous les domaines comparables de la vie</w:t>
      </w:r>
    </w:p>
    <w:p>
      <w:r>
        <w:t>A/103/2020 - 13/24 -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 régressé depuis octobre 2017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t>A/103/2020 - 23/24 -</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w:t>
      </w:r>
    </w:p>
    <w:p>
      <w:r>
        <w:t>A/103/2020 - 14/24 -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10.1</w:t>
      </w:r>
    </w:p>
    <w:p>
      <w:r>
        <w:t>À titre préalable, il est demandé à l’expert de faire effectuer un dosage sanguin des médicaments, tant des psychotropes que des antidouleurs et d’en communiquer les résultats.</w:t>
      </w:r>
    </w:p>
    <w:p>
      <w:r>
        <w:rPr>
          <w:b/>
        </w:rPr>
        <w:t>E. 10.2</w:t>
      </w:r>
    </w:p>
    <w:p>
      <w:r>
        <w:t>Examen du traitement suivi par la personne expertisée et analyse de son adéquation.</w:t>
      </w:r>
    </w:p>
    <w:p>
      <w:r>
        <w:rPr>
          <w:b/>
        </w:rPr>
        <w:t>E. 10.3</w:t>
      </w:r>
    </w:p>
    <w:p>
      <w:r>
        <w:t>Est-ce que la personne expertisée s'est engagée ou s'engage dans les traitements qui sont raisonnablement exigibles et possiblement efficaces dans son cas ou n'a-t-elle que peu ou pas de demande de soins ?</w:t>
      </w:r>
    </w:p>
    <w:p>
      <w:r>
        <w:rPr>
          <w:b/>
        </w:rPr>
        <w:t>E. 10.4</w:t>
      </w:r>
    </w:p>
    <w:p>
      <w:r>
        <w:t>En cas de refus ou de mauvaise acceptation d’une thérapie, cette attitude doit- elle être attribuée à une incapacité de la personne expertisée à reconnaître sa maladie ?</w:t>
      </w:r>
    </w:p>
    <w:p>
      <w:r>
        <w:rPr>
          <w:b/>
        </w:rPr>
        <w:t>E. 10.5</w:t>
      </w:r>
    </w:p>
    <w:p>
      <w:r>
        <w:t>Propositions thérapeutiques et analyse de leurs effets sur la capacité de travail de la personne expertisée. 11. Appréciation d'avis médicaux du dossier</w:t>
      </w:r>
    </w:p>
    <w:p>
      <w:r>
        <w:rPr>
          <w:b/>
        </w:rPr>
        <w:t>E. 11.1</w:t>
      </w:r>
    </w:p>
    <w:p>
      <w:r>
        <w:t>Êtes-vous d'accord avec l'expertise du Dr E______ du 22 juillet 2019 ? En particulier avec les diagnostics posés, les limitations fonctionnelles constatées et l'estimation d'une capacité de travail de 100 % dans l’activité habituelle et dans une activité adaptée ? Si non, pourquoi ?</w:t>
      </w:r>
    </w:p>
    <w:p>
      <w:r>
        <w:rPr>
          <w:b/>
        </w:rPr>
        <w:t>E. 11.2</w:t>
      </w:r>
    </w:p>
    <w:p>
      <w:r>
        <w:t>Êtes-vous d’accord avec le rapport médical du Dr B______ du 16 avril 2018? En particulier avec les diagnostics posés, les limitations fonctionnelles constatées et l’estimation d’une capacité de travail de 0 % dans toute activité ? Si non, pourquoi ?</w:t>
      </w:r>
    </w:p>
    <w:p>
      <w:r>
        <w:rPr>
          <w:b/>
        </w:rPr>
        <w:t>E. 11.3</w:t>
      </w:r>
    </w:p>
    <w:p>
      <w:r>
        <w:t>Êtes-vous d’accord avec le rapport médical de la Dresse C______ du</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11.5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w:t>
      </w:r>
    </w:p>
    <w:p>
      <w:r>
        <w:t>A/103/2020 - 16/24 -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w:t>
      </w:r>
    </w:p>
    <w:p>
      <w:r>
        <w:t>A/103/2020 - 17/24 -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t>A/103/2020 - 18/24 -</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15</w:t>
      </w:r>
    </w:p>
    <w:p>
      <w:r>
        <w:t>En l’espèce, les appréciations des médecins traitants de l’assurée, concernant sa capacité de travail, s’opposent aux appréciations de l’expert désigné par l’intimé ainsi qu'à celles du SMR. L’audition de la recourante par la chambre de céans a permis d’établir, au degré de la vraisemblance prépondérante, que cette dernière n’avait pas communiqué à l’expert, une grande partie des éléments de sa vie privée alors que ces derniers avaient eu, vraisemblablement, un effet sur son psychisme. Compte tenu de ces lacunes, l’expert psychiatre désigné par l’intimé ignorait, au moment où il a rendu son rapport d’expertise, lesdits éléments qui étaient de nature à influencer son diagnostic et ses conclusions sur la capacité de travail de la recourante. Les doutes sur la sévérité des troubles psychiques de la recourante sont renforcés par l’audition du Dr F______, qui, lors de la même audience, a clairement exposé les liens qui existaient entre la problématique de la fibromyalgie et les comorbidités</w:t>
      </w:r>
    </w:p>
    <w:p>
      <w:r>
        <w:t>A/103/2020 - 19/24 - psychiques, domaine sur lequel il n’a pas pu s’exprimer, n’étant pas spécialisé en psychiatrie. Il ressort tout de même de l’ensemble des appréciations des médecins traitants que l’état psychique de la recourante est un facteur ayant des répercussions importantes sur sa capacité de travail.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Compte tenu de l’ensemble des éléments mentionnés supra, la chambre de céans considère que certains aspects médicaux doivent être clarifiés, notamment en ce qui concerne les liens entre les troubles somatiques dont souffre l’expertisée et ses éventuels troubles psychiques.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et doit procéder à des investigations supplémentaires ou en ordonner lorsqu'il y a suffisamment de raisons pour le faire.</w:t>
      </w:r>
    </w:p>
    <w:p>
      <w:r>
        <w:rPr>
          <w:b/>
        </w:rPr>
        <w:t>E. 16</w:t>
      </w:r>
    </w:p>
    <w:p>
      <w:r>
        <w:t>juillet 2018 ? En particulier avec les diagnostics posés, les limitations fonctionnelles constatées et l’estimation d’une capacité de travail de 50 % dans l’activité habituelle et de 75 % dans une activité adaptée ? Si non, pourquoi ? 12. Quel est le pronostic ? 13. Des mesures de réadaptation professionnelle sont-elles envisageables ? 14. Faire toutes autres observations ou suggestions utiles. II. Invite l’expert à déposer, dans les meilleurs délais, son rapport en trois exemplaires auprès de la chambre de céans. III. Réserve le fond ainsi que le sort des frais jusqu’à droit jugé au fond.</w:t>
      </w:r>
    </w:p>
    <w:p>
      <w:r>
        <w:t>A/103/2020 - 24/24 - La greffière</w:t>
      </w:r>
    </w:p>
    <w:p>
      <w:r>
        <w:t>Véronique SERAIN</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