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ATAS/88/2017 vom 7. Mai 2015</w:t>
      </w:r>
    </w:p>
    <w:p>
      <w:r>
        <w:t>GE Cour de justice, 2015-05-07, FR</w:t>
      </w:r>
    </w:p>
    <w:p>
      <w:r>
        <w:rPr>
          <w:b/>
        </w:rPr>
        <w:t xml:space="preserve">Quelle: </w:t>
      </w:r>
      <w:r>
        <w:t>https://mcp.opencaselaw.ch/entscheid/ge_gerichte_ATAS_88_2017</w:t>
      </w:r>
    </w:p>
    <w:p>
      <w:r>
        <w:t>FR: GE_GERICHTE ATAS/88/2017 du 7 mai 2015</w:t>
      </w:r>
    </w:p>
    <w:p>
      <w:r>
        <w:t>IT: GE_GERICHTE ATAS/88/2017 del 7 maggio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l’assurée aux prestations LAA au-delà du 31 mars 2015. La chambre de céans doit toutefois se prononcer préalablement sur la requête de suspension de la procédure formulée par l’assurée, jusqu’à droit jugé au pénal.</w:t>
      </w:r>
    </w:p>
    <w:p>
      <w:r>
        <w:rPr>
          <w:b/>
        </w:rPr>
        <w:t>E. 4</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w:t>
      </w:r>
    </w:p>
    <w:p>
      <w:r>
        <w:rPr>
          <w:b/>
        </w:rPr>
        <w:t>E. 5</w:t>
      </w:r>
    </w:p>
    <w:p>
      <w:r>
        <w:t>En l’espèce, l’assurée a informé la chambre de céans qu’elle avait déposé une plainte pénale le 9 septembre 2016 pour faux dans les titres. Aux termes de l’art. 251 al. 1 CPS,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A/2971/2016 - 4/6 - sera puni d'une peine privative de liberté de cinq ans au plus ou d'une peine pécuniaire ». L’assurée reproche en effet à deux experts de la clinique Corela d’avoir procédé à « des constatations fausses et des interprétations personnelles ». Elle a notamment critiqué leur affirmation selon laquelle « mon état de santé s’est sévèrement et globalement aggravé depuis l’accident » et le fait qu’« ils nient la réalisation des conditions pour l’application du syndrome post commotionnel ».</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consid. 2.1; ATF 121 V 362 consid. 1b et les références). Ils doivent cependant être pris en considération dans la mesure où ils sont étroitement liés à l’objet du litige et de nature à influencer l’appréciation au moment où la décision</w:t>
      </w:r>
    </w:p>
    <w:p>
      <w:r>
        <w:t>A/2971/2016 - 5/6 - attaquée a été rendue (ATF 99 V 98 et les arrêts cités; arrêt du Tribunal fédéral 9C_25/2012 du 25 avril 2012). Tel est notamment le cas d’un rapport médical rendu postérieurement à la date déterminante, dans la mesure où il a trait à la situation antérieure à cette date (cf. ATF 99 V 98 consid. 4 et les arrêts cités; arrêt du Tribunal fédéral 9C_537/2009 du 1er mars 2010 consid. 3.2).</w:t>
      </w:r>
    </w:p>
    <w:p>
      <w:r>
        <w:rPr>
          <w:b/>
        </w:rPr>
        <w:t>E. 8</w:t>
      </w:r>
    </w:p>
    <w:p>
      <w:r>
        <w:t>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133 V 450 consid. 11.1.3). Au demeurant, l'élément déterminant pour la valeur probante n'est ni l'origine du moyen de preuve ni sa désignation comme rapport ou comme expertise, mais son contenu (arrêt du Tribunal fédéral 9C_899/2013 du 24 février 2014 consid. 3.2).</w:t>
      </w:r>
    </w:p>
    <w:p>
      <w:r>
        <w:rPr>
          <w:b/>
        </w:rPr>
        <w:t>E. 9</w:t>
      </w:r>
    </w:p>
    <w:p>
      <w:r>
        <w:t>Il y a lieu de constater, au vu de ce qui précède, que, pour se prononcer sur le litige dont elle est saisie, la chambre de céans devra, sur la base de la jurisprudence susmentionnée, examiner la question de la valeur probante des documents médicaux figurant dans le dossier, et plus particulièrement de l’expertise Corela. On ne voit pas quel motif exigerait qu’elle attende l’issue de la procédure pénale pour procéder à cet examen. Aussi ne se justifie-t-il pas de suspendre la présente procédure jusqu’à droit jugé en pénal.</w:t>
      </w:r>
    </w:p>
    <w:p>
      <w:r>
        <w:t>A/2971/2016 - 6/6 -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