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ATAS/889/2025 vom 12. November 2025</w:t>
      </w:r>
    </w:p>
    <w:p>
      <w:r>
        <w:t>GE Cour de justice, 2025-11-12, FR</w:t>
      </w:r>
    </w:p>
    <w:p>
      <w:r>
        <w:rPr>
          <w:b/>
        </w:rPr>
        <w:t xml:space="preserve">Quelle: </w:t>
      </w:r>
      <w:r>
        <w:t>https://mcp.opencaselaw.ch/entscheid/ge_gerichte_ATAS_889_2025</w:t>
      </w:r>
    </w:p>
    <w:p>
      <w:r>
        <w:t>FR: GE_GERICHTE ATAS/889/2025 du 12 novembre 2025</w:t>
      </w:r>
    </w:p>
    <w:p>
      <w:r>
        <w:t>IT: GE_GERICHTE ATAS/889/2025 del 12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d'accorder à la recourante la remise de son obligation de restituer la somme de CHF 9'104.-, au motif qu'elle ne remplissait pas la condition de la bonne foi.</w:t>
      </w:r>
    </w:p>
    <w:p>
      <w:r>
        <w:rPr>
          <w:b/>
        </w:rPr>
        <w:t>E. 3</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w:t>
      </w:r>
    </w:p>
    <w:p>
      <w:r>
        <w:t>A/2532/2025 - 6/9 - prestations allouées indûment, mais reçues de bonne foi, ne peut être exigée si l'intéressé se trouve dans une situation difficile.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w:t>
      </w:r>
    </w:p>
    <w:p>
      <w:r>
        <w:t>A/2532/2025 - 7/9 - d'autres comportements, notamment l'omission de se renseigner auprès de l'administration (arrêt du Tribunal fédéral 8C_441/2023 du 21 décembre 2023 consid. 3.2.2 et la référence). Les directives concernant les prestations complémentaires à l'AVS et à l'AI (ci-après : DPC), valable dès le 12 avril 2011 (état au 1er janvier 2025),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prestations complémentaires, n’annonce pas une erreur de calcul qu’elle aurait facilement pu reconnaître (DPC, n. 4652.03).</w:t>
      </w:r>
    </w:p>
    <w:p>
      <w:r>
        <w:rPr>
          <w:b/>
        </w:rPr>
        <w:t>E. 4</w:t>
      </w:r>
    </w:p>
    <w:p>
      <w:r>
        <w:t>En l’occurrence, il ressort des pièces de la procédure que la recourante a mentionné dans sa demande de prestations complémentaires pour son fils, en avril 2025, que son loyer était de CHF 15'480.- charges comprises. Elle a produit pour la première fois en annexe de sa demande des informations sur la diminution de son loyer valable dès le 1er octobre 2021 (ancien loyer CHF 15'912.- par année et nouveau loyer CHF 12'888.- par année). Elle n’a donc pas informé l’intimé en temps utile de sa baisse de loyer, alors qu’elle ne pouvait ignorer son obligation de renseigner. Ce retard de plusieurs années dans la transmission de cette information constitue un manquement à l’obligation d’informer et une négligence grave selon la jurisprudence et les DPC. Elle ne peut reprocher une erreur à l’intimé, qui ne pouvait pas connaître cette diminution de loyer. C’est donc à juste titre que l’intimé a retenu que la condition de la bonne foi de la recourante n’était pas réalisée et qu’il a refusé la demande de remise.</w:t>
      </w:r>
    </w:p>
    <w:p>
      <w:r>
        <w:t>A/2532/2025 - 8/9 -</w:t>
      </w:r>
    </w:p>
    <w:p>
      <w:r>
        <w:rPr>
          <w:b/>
        </w:rPr>
        <w:t>E. 5</w:t>
      </w:r>
    </w:p>
    <w:p>
      <w:r>
        <w:t>Infondé, le recours doit être rejeté. Pour le surplus, la procédure est gratuite (art. 61 let. fbis LPGA a contrario).</w:t>
      </w:r>
    </w:p>
    <w:p>
      <w:r>
        <w:t>A/2532/2025 - 9/9 -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