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ATAS/889/2024 vom 15. November 2024</w:t>
      </w:r>
    </w:p>
    <w:p>
      <w:r>
        <w:t>GE Cour de justice, 2024-11-15, FR</w:t>
      </w:r>
    </w:p>
    <w:p>
      <w:r>
        <w:rPr>
          <w:b/>
        </w:rPr>
        <w:t xml:space="preserve">Quelle: </w:t>
      </w:r>
      <w:r>
        <w:t>https://mcp.opencaselaw.ch/entscheid/ge_gerichte_ATAS_889_2024</w:t>
      </w:r>
    </w:p>
    <w:p>
      <w:r>
        <w:t>FR: GE_GERICHTE ATAS/889/2024 du 15 novembre 2024</w:t>
      </w:r>
    </w:p>
    <w:p>
      <w:r>
        <w:t>IT: GE_GERICHTE ATAS/889/2024 del 15 novembre 2024</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LCA. Selon les conditions générales d’assurances (CGA), applicables à la police d’assurance, le contrat est régi par la LCA. La compétence de la chambre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w:t>
      </w:r>
    </w:p>
    <w:p>
      <w:r>
        <w:t>A/1450/2022 - 11/26 - statuer sur les actions découlant d’un contrat, étant précisé que l’art. 17 al. 1 CPC consacre la possibilité d’une élection de for écrite. En l’occurrence, le ch. F1 des conditions générales d’assurances (CGA), assurance d’une indemnité journalière en cas de maladie, prévoit que le preneur d’assurance ou les ayants droits peuvent intenter une action contre la défenderesse au lieu de leur domicile en Suisse. La demanderesse ayant son domicile à Genève, la chambre de céans est compétente à raison du lieu pour connaître de la présente demande.</w:t>
      </w:r>
    </w:p>
    <w:p>
      <w:r>
        <w:rPr>
          <w:b/>
        </w:rPr>
        <w:t>E. 1.3</w:t>
      </w:r>
    </w:p>
    <w:p>
      <w:r>
        <w:t>Les litiges que les cantons ont décidé de soumettre à une instance cantonale unique selon l'art. 7 CPC ne sont pas soumis à la procédure de conciliation préalable de l'art. 197 CPC (ATF 138 III 558 consid. 4.5 et 4.6 ; ATAS/306/2022 du 31 mars 2022 consid. 3 ; ATAS/199/2022 du 4 mars 2022 consid. 2),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Elle donc recevable.</w:t>
      </w:r>
    </w:p>
    <w:p>
      <w:r>
        <w:rPr>
          <w:b/>
        </w:rPr>
        <w:t>E. 2</w:t>
      </w:r>
    </w:p>
    <w:p>
      <w:r>
        <w:t>Se pose en premier lieu la question de la recevabilité des conclusions amplifiées.</w:t>
      </w:r>
    </w:p>
    <w:p>
      <w:r>
        <w:rPr>
          <w:b/>
        </w:rPr>
        <w:t>E. 2.1</w:t>
      </w:r>
    </w:p>
    <w:p>
      <w:r>
        <w:t>Conformément à l’art. 243 al. 2 let. f CPC, les litiges portant sur des assurances complémentaires à l’assurance-maladie sociale au sens de la LAMal sont soumis à la procédure simplifiée. En procédure ordinaire, la modification de la demande est régie par les art. 227 et 230 CPC, qui s'appliquent par analogie à la procédure simplifiée (art. 219 CPC ; arrêt du Tribunal fédéral 4A_395/2017 du 11 octobre 2018 consid. 4.4.1).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(Philippe SCHWEIZER, in BOHNET et al. [éd.], Code de procédure civile commenté, 2011, n. 14, 17 et 18 ad art. 227 CPC). Il y a connexité matérielle lorsque les deux actions ont le même fondement matériel ou juridique, notamment lorsqu’elles reposent sur un même contrat ou un même état de fait (ATF 129 III 230 consid. 3.1). L’art. 230 al. 1 CPC précise que la demande ne peut être modifiée aux débats principaux que si : les conditions fixées à l’art. 227 al. 1 sont remplies (let. a) et la modification repose sur des faits ou des moyens de preuve nouveaux (let. b). L’art. 227 al. 2 et 3 est applicable (al. 2).</w:t>
      </w:r>
    </w:p>
    <w:p>
      <w:r>
        <w:t>A/1450/2022 - 12/26 - Les faits et moyens de preuve nouveaux mentionnés à l'art. 230 al. 1 let. b CPC sont ceux qui peuvent être admis dans la procédure conformément à l'art. 229 CPC. Lorsque le juge établit les faits d'office, des faits et moyens de preuve nouveaux sont admis sans restriction jusqu'aux délibérations, conformément à l'art. 229 al. 3 CPC ; une modification des conclusions pourra alors se fonder sur un tel fait ou un tel moyen de preuve. La maxime inquisitoire ne prive pas de sens la condition posée par l'art. 230 al. 1 let. b CPC. Quand bien même la modification de la demande n'a pas à reposer sur des nova au sens de l'art. 229 al. 1 CPC, l'exigence de la nouveauté demeure. Le demandeur ne saurait ainsi introduire une nouvelle conclusion en se fondant sur les seuls faits allégués précédemment (arrêt du Tribunal fédéral 4A_395/2017 du 11 octobre 2018 consid. 4.4.2 et les références mentionnées).</w:t>
      </w:r>
    </w:p>
    <w:p>
      <w:r>
        <w:rPr>
          <w:b/>
        </w:rPr>
        <w:t>E. 2.2</w:t>
      </w:r>
    </w:p>
    <w:p>
      <w:r>
        <w:t>En l’espèce, le litige portait initialement sur le paiement de CHF 7'918.-, correspondant aux indemnités journalières pour la période du 20 mars au 30 avril 2022. Dans son écriture du 28 juin 2024, la demanderesse a amplifié ses conclusions et requis à ce titre le versement de CHF 42'035.50 avec intérêts à 5% l'an dès le 12 juillet 2022, correspondant aux indemnités journalières du 20 mars au 2 novembre 2022. La question se pose donc de savoir si la modification de la demande repose sur des faits ou des moyens de preuve nouveaux. La demanderesse soutient que l’expertise judiciaire du 15 février 2024 constitue un moyen de preuve nouveau. L’expertise contiendrait par ailleurs des faits nouveaux, soit une chronicisation et une absence d’amélioration de sa capacité de travail. Ce raisonnement doit être suivi. L’expertise retient en effet une capacité de travail nulle « pour une durée indéterminée », tous les diagnostics ayant une évolution chronique. Cette conclusion vient ainsi contredire celle prise par le Dr H______ dans son rapport d’expertise du 8 mars 2022, qui avait conclu à une capacité de travail entière. On se trouve ainsi en présence d’un moyen de preuve nouveau, postérieur à la demande initiale du 29 avril 2022, justifiant l’augmentation des conclusions de la demanderesse. Le versement des indemnités journalières qu’elle réclame dans son écriture du 28 juin 2024 à hauteur de CHF 42'035.50, contre CHF 7'918.- dans sa demande en paiement du 29 avril 2022, relève de la même procédure et est en lien de connexité matérielle au sens de la définition ci-dessus, puisqu’il résulte d’un différend reposant sur le même état de fait et sur le même rapport juridique.</w:t>
      </w:r>
    </w:p>
    <w:p>
      <w:r>
        <w:rPr>
          <w:b/>
        </w:rPr>
        <w:t>E. 2.3</w:t>
      </w:r>
    </w:p>
    <w:p>
      <w:r>
        <w:t>Partant, les conclusions amplifiées de la demanderesse sont recevables.</w:t>
      </w:r>
    </w:p>
    <w:p>
      <w:r>
        <w:rPr>
          <w:b/>
        </w:rPr>
        <w:t>E. 3</w:t>
      </w:r>
    </w:p>
    <w:p>
      <w:r>
        <w:t>Le litige porte ainsi sur le droit de la recourante aux indemnités journalières de l’assurance perte de gain pour la période du 20 mars 2022 au 2 novembre 2022.</w:t>
      </w:r>
    </w:p>
    <w:p>
      <w:r>
        <w:rPr>
          <w:b/>
        </w:rPr>
        <w:t>E. 3.1</w:t>
      </w:r>
    </w:p>
    <w:p>
      <w:r>
        <w:t>Sur le plan matériel, la LCA a fait l’objet d’une révision entrée en vigueur le 1er janvier 2022 (modification du 19 juin 2020 ; RO 2020 4969 ; RO 2021 357).</w:t>
      </w:r>
    </w:p>
    <w:p>
      <w:r>
        <w:t>A/1450/2022 - 13/26 -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LCA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w:t>
      </w:r>
    </w:p>
    <w:p>
      <w:r>
        <w:rPr>
          <w:b/>
        </w:rPr>
        <w:t>E. 3.2</w:t>
      </w:r>
    </w:p>
    <w:p>
      <w:r>
        <w:t>En l'occurrence, le contrat d'assurance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3.3</w:t>
      </w:r>
    </w:p>
    <w:p>
      <w:r>
        <w:t>La procédure simplifiée s'applique aux litiges portant sur des assurances complémentaires à l’assurance-maladie sociale au sens de la loi fédérale sur l'assurance-maladie du 18 mars 1994 (LAMal - RS 832.10 ; art. 243 al. 2 let. f CPC) et la chambre de céans établit les faits d'office (art. 247 al. 2 let. a CPC).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(cf. ATF 122 III 219 consid. 3c ; 119 III 60 consid. 2c). Elle n'empêche pas le juge de refuser une mesure</w:t>
      </w:r>
    </w:p>
    <w:p>
      <w:r>
        <w:t>A/1450/2022 - 14/26 -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w:t>
      </w:r>
    </w:p>
    <w:p>
      <w:r>
        <w:t>A/1450/2022 - 15/26 -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ce qui concerne la survenance d’un sinistre assuré, le degré de preuve nécessaire est en principe abaissé à la vraisemblance prépondérante (en lieu et place de la règle générale de la preuve stricte ; ATF 130 III 321 consid. 3.2 et 3.3). Le défendeur conserve toutefois la possibilité d’apporter des contre-preuves ; il cherchera ainsi à démontrer des circonstances propres à faire naître chez le juge des doutes sérieux sur l’exactitude des allégations formant l’objet de la preuve principale (ATF 130 III 321 consid. 3.4). Cependant, dans un arrêt du 31 août 2021, le Tribunal fédéral a modifié la jurisprudence précitée, en ce sens que l’existence d’un cas d’assurance constitué par une incapacité de travail est désormais soumise au degré de preuve de la preuve stricte (ATF 148 III 105 consid. 3.3.1 in fine).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 Cette précision de jurisprudence concerne le droit matériel et est donc directement applicable (ATF 146 I 105 consid. 5.2.1), y compris au présent litige.</w:t>
      </w:r>
    </w:p>
    <w:p>
      <w:r>
        <w:rPr>
          <w:b/>
        </w:rPr>
        <w:t>E. 3.4</w:t>
      </w:r>
    </w:p>
    <w:p>
      <w:r>
        <w:t>Aux termes de l’art. 168 al. 1 CPC, les moyens de preuve sont le témoignage (let. a) ; les titres (let. b) ; l’inspection (let. c) ; l’expertise (let. d) ; les renseignements écrits (let. e) ; l’interrogatoire et la déposition de partie (let. f). 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w:t>
      </w:r>
    </w:p>
    <w:p>
      <w:r>
        <w:t>A/1450/2022 - 16/26 -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L'expertise médicale ordonnée durant une procédure fournit au juge les connaissances professionnelles dont celui-ci a besoin pour saisir certains faits juridiquement pertinents et/ou pour pouvoir juger. On ne peut soumettre à un expert que des questions de fait, non des questions de droit, dont la réponse incombe impérativement au juge, qui ne peut pas déléguer cet examen à un tiers (arrêts du Tribunal fédéral consid. 6.2.6 ; 5A_859/2014 précité consid. 4.1.3.1; 5A_795/2013 du 27 février 2014 consid. 5.1.2). Le juge apprécie librement la force probante d’une expertise. La question de savoir s'il est convaincu par le raisonnement de l'expert et s'il va suivre ses conclusions relève donc de l'appréciation des preuves (ATF 141 IV 369 consid. 6.1 ; arrêt du Tribunal fédéral 5A_700/2021 du 16 septembre 2022 consid. 3.2).</w:t>
      </w:r>
    </w:p>
    <w:p>
      <w:r>
        <w:rPr>
          <w:b/>
        </w:rPr>
        <w:t>E. 3.5</w:t>
      </w:r>
    </w:p>
    <w:p>
      <w:r>
        <w:t>Les assurances complémentaires à l'assurance-maladie sociale au sens de la LAMal sont soumises au droit privé, plus particulièrement à la LCA ; ATF 124 III 44 consid. 1a/aa). Comme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122 III 118 consid. 2a ; 117 II 609 consid. 6c) La LCA ne comporte pas de dispositions particulières à l'assurance d'indemnités journalières en cas de maladie ou d'accident, de sorte qu'en principe, le droit aux prestations se détermine exclusivement d'après la convention des parties</w:t>
      </w:r>
    </w:p>
    <w:p>
      <w:r>
        <w:t>A/1450/2022 - 17/26 -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4.1</w:t>
      </w:r>
    </w:p>
    <w:p>
      <w:r>
        <w:t>En l’espèce, selon le ch. A1 CGA, faisant partie intégrante de la police d'assurance, le contrat comprend l’indemnité journalière en cas de maladie pour le personnel. Le ch. A4 par. 1 CGA définit la maladie comme suit : « toute atteinte à la santé physique, mentale ou psychique qui n'est pas due à un accident et qui exige un examen ou un traitement médical et provoque une incapacité de travail ». Le ch. A4 par. 2 précise qu'« est réputée incapacité de travail toute perte, totale ou partielle, de l'aptitude de l'assuré à accomplir dans sa profession ou son domaine d'activité le travail qui peut raisonnablement être exigé de lui, si cette perte résulte d'une maladie ». La défenderesse a, dans un premier temps, versé des indemnités journalières à la demanderesse sur la base des certificats médicaux émis par la Dre D______ qui retenait, sur le plan psychique, un trouble dépressif récurrent avec effet sur la capacité de travail (cf. ses rapports des 4 novembre 2020, 5 mars 2021 et 4 février 2022). Ensuite, en se référant au rapport d’expertise psychiatrique du Dr H______ du 8 mars 2022, établi à sa demande, qui considérait que la demanderesse disposait d'une capacité de travail entière, la défenderesse a cessé de prester, en dernier lieu, au-delà du 20 mars 2022. Dans l’ordonnance d’expertise du 28 février 2023, la chambre de céans a expliqué les motifs pour lesquels une expertise psychiatrique judiciaire s'avérait nécessaire, l’expertise privée produite par la défenderesse ayant été contestée de manière motivée par le psychiatre traitant de la demanderesse. Il convenait ainsi de clarifier les éventuelles conséquences de son atteinte à la santé psychique sur sa capacité de travail. L’expertise a été effectuée par le Dr J______, qui, dans son rapport du 15 février 2024, a posé les diagnostics, avec répercussions sur la capacité de travail, d’état de stress post-traumatique (F43.1), apparition dans l’enfance d’intensité grave, modification durable de la personnalité (F62.0), apparition à l’âge adulte, trouble hyperkinétique avec perturbation de l’activité de l’attention (TDA-H) d’intensité grave (F90.0), apparition dans l’enfance, personnalité émotionnellement labile, type borderline (F60.31) d’intensité grave avec traits histrioniques (F60.4), apparition au début de l’âge adulte, trouble affectif bipolaire type 2 sous traitement médicamenteux (F31.8), d’intensité moyenne, apparition dans le début de l’âge adulte, syndrome douloureux somatoforme probable (F45.4) et migraines (G43), apparition probable dans l’enfance d’intensité moyenne. Il a également diagnostiqué, sans répercussions sur la capacité de travail, un syndrome des jambes sans repos et une hypertension artérielle et précisé qu’il n’y avait pas une</w:t>
      </w:r>
    </w:p>
    <w:p>
      <w:r>
        <w:t>A/1450/2022 - 18/26 - exagération de symptômes et que l’atteinte à la santé était significative. L’incapacité de travail était totale depuis le 22 septembre 2020 pour une durée indéterminée aussi bien dans l’activité habituelle que dans l’activité adaptée. Ce rapport est complet, clair et non équivoque et remplit les exigences jurisprudentielles pour se voir reconnaître une pleine valeur probante (ATF 125 V 351 consid. 3). L’expert a constaté en particulier que le stress post-traumatique, jamais traité ni même diagnostiqué comme entité clinique à part entière, sur un TDA-H sévère dans un environnement psychosocial et professionnel hostiles avait constitué une structure de personnalité pathologique et une cyclothymie comme preuve d’une grande fragilité psychologique. Les mauvaises conditions de travail qui avaient abouti à l’arrêt de septembre 2020 avaient réactivé tout un vécu traumatique avec de grandes difficultés d’adaptation au monde professionnel et relationnel. L’ensemble des troubles diagnostiqués constituaient un handicap majeur pour répondre aux exigences du marché de l’emploi : pression psychologique, performances, exigences au niveau de rendement et de productivité, acception de règles de vie avec les collaborateurs et la hiérarchie. Le discours de l’assurée était en accord avec les symptômes cibles d’un déficit de l’attention avec hyperactivité : hyperémotivité, impulsivité, procrastination, troubles des fonctions exécutives avec un handicap certain dans l’organisation, la structuration et la priorisation des tâches ainsi que dans la relation à autrui. Il n’y avait pas eu exagération des symptômes et l’atteinte à la santé était significative. Les activités sociales et de la vie quotidienne étaient très restreintes. Leur niveau avait évolué vers la chronicisation depuis la survenance de l’atteinte à la santé. Elle présentait un trouble de la personnalité d’intensité sévère en ce qui concernait la personnalité émotionnellement labile, type borderline et la personnalité post-traumatique et moyenne en rapport avec les traits de personnalité histrionique. La défenderesse ne démontre pas que l’expertise contiendrait des contradictions ou des incohérences intrinsèques. En tant qu’elle se plaint d’une confusion entre l’anamnèse et les plaintes de l’assurée, force est de constater que l’expert a consacré un chapitre particulier aux « plaintes et données subjectives de la personne ». Il a donc dûment fait la part des choses entre les éléments subjectifs basés sur les douleurs exprimées et leurs constatations médicales objectives pour apprécier la capacité de travail de l'assurée. On ne saurait par ailleurs reprocher à l’expert de n’avoir pas daté spécifiquement les somatisations, étant toutefois précisé qu’il se réfère au diagnostic de probable fibromyalgie de la clinique de la douleur qui, à teneur du dossier, a été posé en février 2021. Quant au « suivi spécialisé en TDA-H », il ressort du dossier à disposition de l’expert, en particulier des déclarations du Dr I______ en audience, qu’il a commencé en février 2022. On comprend ainsi de la description de l’expert qu’à la fin du programme TDA-H, l’assurée a été reprise en charge par sa psychiatre traitante, la Dr D______, dont le lien thérapeutique</w:t>
      </w:r>
    </w:p>
    <w:p>
      <w:r>
        <w:t>A/1450/2022 - 19/26 - remonte à septembre 2020. L’éventuelle erreur de date porte, quoi qu’il en soit, sur des faits d'importance secondaire, qui n'entament pas sérieusement la valeur probante de l’expertise. En outre, et comme l’a relevé la demanderesse, le fait que l’expertise ne comprend pas de section spécifique consacrée à la description d’une journée-type ne réduit pas la pertinence des conclusions de l’expert. L’expertise judiciaire comprend en effet suffisamment d’observations sur les difficultés de l’assurée à gérer les activités domestiques et administratives, ses relations sociales fluctuantes entrainant la perte de nouveaux amis et ses relations conjugales difficiles. Selon les indications de l’expert, la demanderesse parle beaucoup, interrompt facilement la conversation, débute un livre mais ne le finit jamais, commence des activités sans les terminer et peine à redémarrer une tâche qu’elle remet à plus tard. Elle n’a pas le contrôle de ses conduites impulsives, semble peu se soucier des conséquences de ses actes, apparaît irraisonnée dans la prise de risques des activités dangereuses et présente des difficultés attentionnelles avec tendance à la procrastination. Sur ces points, les observations du psychiatre traitant de l'assurée complètent utilement l'expertise, puisque dans son rapport du 29 mars 2022, le Dr I______ décrit une efficacité très diminuée sur le plan administratif, une grande difficulté d’organisation, une procrastination, une distractibilité et une tension interne avec un besoin d’agir de manière impulsive. Lors de l’audience devant la chambre de céans, il a également mentionné un conflit constant avec son mari en raison de ses oublis et inattentions, une désorganisation et des changements affectifs. On ne peut au demeurant pas suivre la défenderesse lorsqu’elle reproche à l’expert d’avoir « passé totalement sous silence » le contenu de l’expertise du Dr H______ du 8 mars 2022. Outre que ce rapport figure dans la liste des documents sur la base desquels s’est fondé l’expert (p. 2 du rapport d’expertise), ce dernier a expliqué les raisons pour lesquelles il s’écartait de l’avis du Dr H______. Contrairement à ce que laisse entendre la demanderesse, le fait qu’il ne partage pas son point de vue ne signifie pas encore qu’il n’en ait pas tenu compte. On relèvera en outre que si le rapport d’expertise contient quelques remarques à connotation juridique (telle « le droit d’octroi d’une rente d’invalidité à 100% me semble juste et nécessaire »), ses observations, son analyse et ses conclusions relèvent du seul domaine médical. S’ajoute à cela que le fait que l’expert ne soit pas certifié SIM ne remet pas en cause ses compétences pour expertiser la demanderesse, étant rappelé que cette certification n’est pas exigée pour les expertises judiciaires. Par ailleurs, et contrairement à ce que soutient la défenderesse, le rapport d’expertise du Dr J______ permet d'examiner le cas de l’assurée à l'aune des indicateurs déterminants applicables aux troubles psychiques, développés par la nouvelle jurisprudence en lien avec les troubles somatoformes douloureux (ATF 141 V 281 ; 143 V 418 consid. 6 et 7). Les diagnostics ont été dûment motivés par l’expert. S’agissant de l’état de stress post-traumatique, il a notamment expliqué que l’anxiété constituait un des symptômes cardinaux du trouble. Il a également décrit les évènements traumatiques vécus par l’assurée</w:t>
      </w:r>
    </w:p>
    <w:p>
      <w:r>
        <w:t>A/1450/2022 - 20/26 - dans le cadre de son anamnèse familiale et personnelle et relevé qu’elle faisait des insomnies et cauchemars, reviviscences et flash-back fréquents anamnestiques. S’agissant du diagnostic de TDA-H, l’expert a relevé en particulier que son discours était en accord avec les symptômes cibles d’un déficit de l’attention avec hyperactivité : hyperémotivité, impulsivité, procrastination, troubles des fonctions exécutives avec un handicap certain dans l’organisation, la structuration et la priorisation des tâches ainsi que dans la relation à autrui. Contrairement à ce que soutient la défenderesse, l’expert a dûment expliqué qu’un TDA-H pouvait ne pas être un problème majeur pour l’apprentissage scolaire et académique. Cette appréciation est du reste corroborée par celle du Dr I______ selon laquelle les tâches accomplies par l’assurée l’avaient été à un prix « très élevé », à savoir un degré de souffrance énorme. Les autres diagnostics posés par l’expert reposent certes sur une motivation plus succincte. L’expert a toutefois dûment expliqué que le TDA-H et l’état de stress post-traumatique étaient fondamentaux pour comprendre la capacité de travail de l’assurée. Le stress post-traumatique, jamais traité ni même diagnostiqué comme entité clinique à part entière sur un TDA-H sévère dans un environnement psychosocial et professionnel hostiles, avait constitué une structure de personnalité pathologique et une cyclothymie comme preuve d’une grande fragilité psychologique. S’agissant des limitations fonctionnelles, il a relevé qu’elles étaient objectivées au moyen des questionnaires standardisés et des évaluations cliniques des différents thérapeutes. Elles demeuraient significatives en rapport avec la qualité de vie de l’assurée. Sous l’angle de la cohérence, l’expert n’a pas constaté d’importantes divergences entre les symptômes décrits et les observations médicales, précisant qu’il n’y avait pas une exagération de symptômes et que l’atteinte à la santé était significative. C'est enfin en vain que la défenderesse invoque les lignes directrices de qualité des expertises de psychiatrie d'assurance émises par la Société suisse de psychiatrie et psychothérapie. La question de la force probante de l'expertise doit en effet être tranchée à la lumière des critères posés par la jurisprudence et non en fonction de lignes directrices émanant de la Société suisse de psychiatrie d'assurance, lesquelles n'ont que le caractère de recommandations et non celui d'une norme légale contraignante (arrêt du Tribunal fédéral 8C_945/2009 du 23 septembre 2010 consid. 5 et les arrêts cités). Or, comme exposé ci-avant, le rapport d’expertise est complet, claire et non équivoque, et ses conclusions sont dûment motivées. Par conséquent, la demanderesse a prouvé avoir présenté une incapacité de travail totale dans toute activité dès le 22 septembre 2020, date du début du cas de maladie, au 2 novembre 2022, au terme de la période maximale d'indemnisation compte tenu de la déduction du délai d'attente de 30 jours. Au passage, contrairement à ce que semble suggérer la défenderesse, le fait que le psychiatre traitant ait attesté d'une capacité de travail de 40% en mai 2022, de 80% en juin 2022, et de 100% en juillet 2022 ne discrédite pas les conclusions du</w:t>
      </w:r>
    </w:p>
    <w:p>
      <w:r>
        <w:t>A/1450/2022 - 21/26 - Dr J______. Le Dr I______ a en effet dûment expliqué en audience que ces taux d’incapacité avaient été attestés afin « d’arranger la situation avec l’assurance- chômage ». Sans la demande de l’assurée, il n’aurait « probablement pas » attesté de reprise de travail. L’assurée a quant à elle expliqué devant la chambre de céans qu’elle n’avait pas accès à des indemnités pour perte de gain, si bien qu’elle avait été contrainte de chercher un emploi à temps plein.</w:t>
      </w:r>
    </w:p>
    <w:p>
      <w:r>
        <w:rPr>
          <w:b/>
        </w:rPr>
        <w:t>E. 4.2</w:t>
      </w:r>
    </w:p>
    <w:p>
      <w:r>
        <w:t>Reste à déterminer le montant de l'indemnité journalière. En l'espèce, la police d'assurance prévoit une indemnité journalière en cas de maladie s’élevant à 90% du salaire assuré, versée pendant 730 jours au maximum, sous déduction d'un délai d'attente de 30 jours. Il n’est pas contesté que l’assurée était déjà malade au moment où son contrat de travail a été résilié, si bien que la perte de gain correspond à sa perte de salaire (ATF 147 III 73 consid. 3.2 et 3.3 ; arrêt du Tribunal fédéral 4A_417/2023 du 1er octobre 2024 consid. 6.1). L’indemnité journalière s’élève ainsi à CHF 188.50 par jour, soit CHF 76'444.- (salaire annuel)/12 x 90%, ce qui n’est pas contesté. En conséquence, la demanderesse peut prétendre un montant total de CHF 131’950.- (700 jours × 188.50) à titre d'indemnités journalières en cas de maladie pour la période du 22 octobre 2020, à l'échéance du délai d'attente de 30 jours, au 22 septembre 2022, date de l'épuisement des prestations LCA. Il y a lieu de déduire de ce montant la somme de CHF 96'889.05 déjà reçue par la demanderesse à ce titre pour la période du 22 octobre 2020 au 19 mars 2022 (correspondant à 514 jours) selon le décompte de la défenderesse (pièce 5 défenderesse). Il en résulte ainsi un montant de CHF 35'061.-.</w:t>
      </w:r>
    </w:p>
    <w:p>
      <w:r>
        <w:rPr>
          <w:b/>
        </w:rPr>
        <w:t>E. 5</w:t>
      </w:r>
    </w:p>
    <w:p>
      <w:r>
        <w:t>La demanderesse réclame enfin des intérêts moratoires de 5% dès la date moyenne, soit dès le 12 juillet 2022.</w:t>
      </w:r>
    </w:p>
    <w:p>
      <w:r>
        <w:rPr>
          <w:b/>
        </w:rPr>
        <w:t>E. 5.1</w:t>
      </w:r>
    </w:p>
    <w:p>
      <w:r>
        <w:t>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 4.1 ; 4A_489/2017 du 26 mars 2018 consid. 4.3 ; 4A_122/2014 du 16 décembre 2014 consid. 3.5 ; BREHM, Le contrat d'assurance RC, 1997, n.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w:t>
      </w:r>
    </w:p>
    <w:p>
      <w:r>
        <w:t>A/1450/2022 - 22/26 - consid. 6.3.1 ; JÜRG NEF, in Basler Kommentar, Bundesgesetz über den Versicherungsvertrag, 2001, n° 15 ad art. 41 LCA).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5C.18/2006 du 18 octobre 2006 consid. 6.1 in fine ; cf. NEF, op. cit., n° 20 in fine ad art. 41 LCA, et GROLIMUND/VILLARD,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 18 décembre 2019).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w:t>
      </w:r>
    </w:p>
    <w:p>
      <w:r>
        <w:rPr>
          <w:b/>
        </w:rPr>
        <w:t>E. 5.2</w:t>
      </w:r>
    </w:p>
    <w:p>
      <w:r>
        <w:t>En l’espèce, les conditions générales ne prévoient aucun terme pour l'exigibilité des prestations qui y sont stipulées. En cas d'ouverture d'une action en justice, l'intérêt moratoire de 5% l'an est dû dès le lendemain du jour où la demande en justice a été notifiée au débiteur, soit le 30 avril 2022. La demanderesse conclut au versement d’intérêts moratoires à compter d’une date moyenne, soit le 12 juillet 2022. Cette date peut ainsi être retenue.</w:t>
      </w:r>
    </w:p>
    <w:p>
      <w:r>
        <w:rPr>
          <w:b/>
        </w:rPr>
        <w:t>E. 6</w:t>
      </w:r>
    </w:p>
    <w:p>
      <w:r>
        <w:t>Se pose encore la question de savoir s’il y a lieu de déduire, du montant des indemnités dues par la défenderesse, les indemnités de chômage dont a bénéficié la demanderesse.</w:t>
      </w:r>
    </w:p>
    <w:p>
      <w:r>
        <w:rPr>
          <w:b/>
        </w:rPr>
        <w:t>E. 6.1</w:t>
      </w:r>
    </w:p>
    <w:p>
      <w:r>
        <w:t>L’art. 28 al. 1 de la loi fédérale sur l'assurance-chômage obligatoire et l'indemnité en cas d'insolvabilité du 25 juin 1982 (loi sur l’assurance-chômage, LACI - RS 837.0) prescrit que les assurés qui ne sont pas aptes ni à travailler ni à être placés ou ne le sont que partiellement en raison d’une maladie, d’un accident ou d’une grossesse et qui de ce fait ne peuvent satisfaire aux prescriptions de contrôle, ont droit à la pleine indemnité journalière, sous réserve du respect des autres conditions légales jusqu’au trentième jour suivant le début de l’incapacité</w:t>
      </w:r>
    </w:p>
    <w:p>
      <w:r>
        <w:t>A/1450/2022 - 23/26 - de travail totale ou partielle, mais pour une durée maximale de quarante-quatre indemnités journalières. Selon l’al. 2 de cette disposition, les indemnités journalières de l’assurance-maladie ou de l’assurance-accident qui représentent une compensation de la perte de gain sont déduites de l’indemnité de chômage. L’art. 28 al. 2 LACI consacre le principe de subsidiarité du versement de l’indemnité de chômage par rapport à l’indemnité perte de gain maladie ou accident. Son but est de prévenir une surindemnisation. Il ne fait pas de différence que l’indemnité soit versée par une assurance soumise à la LAMal ou à la LCA (Boris RUBIN, commentaire de la loi sur l’assurance-chômage, 2014, ad art. 28, p. 283).</w:t>
      </w:r>
    </w:p>
    <w:p>
      <w:r>
        <w:rPr>
          <w:b/>
        </w:rPr>
        <w:t>E. 6.2</w:t>
      </w:r>
    </w:p>
    <w:p>
      <w:r>
        <w:t>Selon le ch. B10 CGA, lorsque l’assuré a droit, pour la même période, à des prestations en espèces servies par l’assurance-invalidité, par l’assurance-accidents, par l’assurance militaire, par l’assurance-chômage, par la prévoyance professionnelle, par des assurances étrangères correspondantes ou par un tiers responsable, AXA complète ces prestations dans les limites de sa propre obligation de fournir des prestations, et ce, jusqu’à concurrence de l’indemnité journalière assurée. Dans un arrêt publié aux ATF 144 III 136, le Tribunal fédéral a retenu qu’en vertu de l’art. 28 al. 2 et 4 LACI, l’assurance chômage était subsidiaire à l'assurance privée couvrant la perte de gain occasionnée par une maladie. L'assureur privé n’était ainsi pas dispensé de fournir les prestations dues contractuellement sous prétexte que l'assurance-chômage avait versé à l'assuré de pleines indemnités provisoires (ATF 144 III 136 consid. 4).</w:t>
      </w:r>
    </w:p>
    <w:p>
      <w:r>
        <w:rPr>
          <w:b/>
        </w:rPr>
        <w:t>E. 6.3</w:t>
      </w:r>
    </w:p>
    <w:p>
      <w:r>
        <w:t>En application de la jurisprudence précitée, il n’y a pas lieu de déduire l’indemnité versée par le chômage de celle due par la défenderesse. Afin d’éviter une surindemnisation durant la période litigieuse, il convient de communiquer le présent arrêt à la caisse de chômage, à charge pour elle de réviser ses décisions pour supprimer en tout ou en partie de l’indemnité de chômage dont a bénéficié la demanderesse.</w:t>
      </w:r>
    </w:p>
    <w:p>
      <w:r>
        <w:rPr>
          <w:b/>
        </w:rPr>
        <w:t>E. 7</w:t>
      </w:r>
    </w:p>
    <w:p>
      <w:r>
        <w:t>En conséquence, la demande en paiement est partiellement admise, en ce sens que la défenderesse sera condamnée à verser à la demanderesse le montant de CHF 35'061.-, représentant le solde d’indemnités journalières pour perte de gain selon la LCA pour la période du 20 mars 2022 au 22 septembre 2022, avec intérêts à 5% l’an dès le 12 juillet 2022. Au vu de ce qui précède, la chambre de céans disposant de tous les éléments nécessaires pour statuer sur le droit de la demanderesse à des indemnités journalières, il est superflu d’administrer la preuve sollicitée par la défenderesse, soit la mise en œuvre d’une nouvelle expertise judiciaire.</w:t>
      </w:r>
    </w:p>
    <w:p>
      <w:r>
        <w:rPr>
          <w:b/>
        </w:rPr>
        <w:t>E. 8</w:t>
      </w:r>
    </w:p>
    <w:p>
      <w:r>
        <w:t>Il convient enfin de se prononcer sur les frais de la procédure.</w:t>
      </w:r>
    </w:p>
    <w:p>
      <w:r>
        <w:t>A/1450/2022 - 24/26 -</w:t>
      </w:r>
    </w:p>
    <w:p>
      <w:r>
        <w:rPr>
          <w:b/>
        </w:rPr>
        <w:t>E. 8.1</w:t>
      </w:r>
    </w:p>
    <w:p>
      <w:r>
        <w:t>Les frais d'expertise judiciaire constituent des frais d'administration des preuves au sens de l'art. 95 al. 2 let. c CPC. Selon l'art. 114 let. e CPC, il n'est pas perçu de frais judiciaires dans la procédure au fond pour les litiges portant sur des assurances complémentaires à l'assurance-maladie au sens de la loi fédérale du 18 mars 1994 sur l'assurance-maladie. Cela signifie donc que l'intégralité des frais engendrés par la conduite et l'instruction du procès demeure à la charge de l'État. Les frais de l'expertise judiciaire mise en œuvre dans la présente cause demeurent ainsi à la charge de l'État.</w:t>
      </w:r>
    </w:p>
    <w:p>
      <w:r>
        <w:rPr>
          <w:b/>
        </w:rPr>
        <w:t>E. 8.2</w:t>
      </w:r>
    </w:p>
    <w:p>
      <w:r>
        <w:t>La demanderesse, représentée par une avocate, obtient gain de cause, de sorte qu’elle a droit à des dépens.</w:t>
      </w:r>
    </w:p>
    <w:p>
      <w:r>
        <w:rPr>
          <w:b/>
        </w:rPr>
        <w:t>E. 8.2.1</w:t>
      </w:r>
    </w:p>
    <w:p>
      <w:r>
        <w:t>Les cantons sont compétents pour fixer le tarif des frais comprenant les dépens (art. 96 CPC en relation avec l’art. 95 al. 3 let. b CPC). 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(art. 20 al. 1 de la loi d'application du code civil suisse et d’autres lois fédérales en matière civile du 11 octobre 2012 [LaCC - E 1 05]). Le règlement cité à l’art. 20 précité est le règlement fixant le tarif des frais en matière civile du 22 décembre 2010 (RTFMC - E 1 05.10), lequel détermine notamment le tarif des dépens, applicable aux affaires civiles contentieuses (art. 1 RTFMC). Ceux-ci sont, en principe, mis à la charge de la partie qui succombe (art. 106 al. 1 CPC). Le RTFMC rappelle, à son art. 84, le principe de l’art. 20 al. 1 LaCC, à savoir que le défraiement d'un représentant professionnel est, en règle générale, proportionnel à la valeur litigieuse. Il est fixé d'après l'importance de la cause, ses difficultés, l'ampleur du travail et le temps employé. L’art. 85 al. 1 RTFMC prévoit que pour les affaires pécuniaires, le défraiement prend pour base le tarif ci-dessous. Sans préjudice de l'art. 23 LaCC, il peut s'en écarter de plus ou moins 10% pour tenir compte des éléments rappelés à l'art. 84. Lorsque la valeur litigieuse est au-delà de CHF 40'000.- jusqu’à CHF 80'000.-, le défraiement est de CHF 6'100.-, plus 9% de la valeur litigieuse dépassant CHF 40'000.-.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En l’occurrence, la valeur litigieuse, telle que définie par les conclusions de la demanderesse, s’élève à CHF 42'035.50, ce qui correspond à des dépens de CHF 6'283.20 selon l’art. 85 al. 1 RTFMC, auxquels il convient d’ajouter la TVA (8,1% ; art. 25 al. 1 et 115 al. 1 de la loi fédérale régissant la taxe sur la valeur</w:t>
      </w:r>
    </w:p>
    <w:p>
      <w:r>
        <w:t>A/1450/2022 - 25/26 - ajoutée du 12 juin 2009 [LTVA - RS 641.20] dans sa teneur en vigueur à compter du 1er janvier 2024) et les débours (3%), de sorte que le montant total, arrondi, s’élève à CHF 6’981.- (art. 25 et 26 al. 1 de la loi d’application du code civil suisse et d’autres lois fédérales en matière civile du 11 octobre 2012 [LaCC - E 1 05] ; art. 84 et 85 RTFMC). Conformément à l’art. 106 al. 2 CPC, ce montant doit être réparti selon le sort de la cause. La demanderesse obtient environ 85% de ses conclusions. Les CHF 6'981.- doivent être répartis comme suit : CHF 5'934.- à la charge de la défenderesse et CHF 1'047.- à la charge de la demanderesse, ce qui revient, après compensation, à CHF 4'887.- à la charge de la défenderesse. Enfin, il convient de tenir compte du fait que la représentante de l’assurée n’est intervenue qu’au stade des déterminations après expertise. Elle n’a pas rédigé la demande, ni participé aux deux audiences devant la chambre de céans. Ainsi compte tenu de la complexité du dossier, qui contient une expertise judiciaire, mais aussi du temps de travail effectif de l’avocate pour l’élaboration de deux écritures (art. 20 al. 1 LaCC et 23 al. 1 LaCC), il convient de réduire les dépens à CHF 3’250.-, ce qui correspond aux deux tiers du montant précité. Pour le surplus, la procédure est gratuite (art. 114 let. e CPC).</w:t>
      </w:r>
    </w:p>
    <w:p>
      <w:r>
        <w:t>******</w:t>
      </w:r>
    </w:p>
    <w:p>
      <w:r>
        <w:t>A/1450/2022 - 26/26 -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