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ATAS/889/2021 vom 31. August 2021</w:t>
      </w:r>
    </w:p>
    <w:p>
      <w:r>
        <w:t>GE Cour de justice, 2021-08-31, FR</w:t>
      </w:r>
    </w:p>
    <w:p>
      <w:r>
        <w:rPr>
          <w:b/>
        </w:rPr>
        <w:t xml:space="preserve">Quelle: </w:t>
      </w:r>
      <w:r>
        <w:t>https://mcp.opencaselaw.ch/entscheid/ge_gerichte_ATAS_889_2021</w:t>
      </w:r>
    </w:p>
    <w:p>
      <w:r>
        <w:t>FR: GE_GERICHTE ATAS/889/2021 du 31 août 2021</w:t>
      </w:r>
    </w:p>
    <w:p>
      <w:r>
        <w:t>IT: GE_GERICHTE ATAS/889/2021 del 31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Dès lors que le présent recours était pendant devant la chambre de céans à cette date, il reste soumis à l’ancien droit (cf. art. 83 LPGA).</w:t>
      </w:r>
    </w:p>
    <w:p>
      <w:r>
        <w:rPr>
          <w:b/>
        </w:rPr>
        <w:t>E. 3</w:t>
      </w:r>
    </w:p>
    <w:p>
      <w:r>
        <w:t>Déposé dans les forme et délai prévus par la loi (art. 56ss LPGA), le recours est recevable.</w:t>
      </w:r>
    </w:p>
    <w:p>
      <w:r>
        <w:rPr>
          <w:b/>
        </w:rPr>
        <w:t>E. 4</w:t>
      </w:r>
    </w:p>
    <w:p>
      <w:r>
        <w:t>mars 2009 constituait bien une décision au sens matériel, dès lors qu’il tranchait le droit du recourant à des prestations de l’assurance-invalidité. La mention de la voie de recours auprès de la chambre de céans ne laisse guère de doute sur le caractère de décision. Lorsqu’il s’agit de qualifier un acte, il importe peu que celui-ci soit intitulé « décision » ou qu’il en remplisse les conditions formelles posées par la loi ; ce qui est déterminant, c’est qu’il revête les caractéristiques matérielles d’une décision (ATF 143 III 162 consid. 2.2.1). Le recourant, déjà assisté d’une avocate lorsque cette décision a été rendue, ne conteste d’ailleurs pas que l’intimé a valablement statué en mars 2009.</w:t>
      </w:r>
    </w:p>
    <w:p>
      <w:r>
        <w:t>A/3188/2019 - 12/20 - Partant, seul le droit aux prestations d’invalidité depuis le dépôt de la demande de 2016 fait l’objet du litige dans la présente procédure.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Les mesures d’ordre professionnel comprennent l’orientation professionnelle (art. 15 LAI), la formation professionnelle initiale (art. 16 LAI), le reclassement (art. 17 LAI) et le placement (art. 18 LAI).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 Le droit aux mesures de réadaptation est déterminé en fonction de toute l’activité probable, ce par quoi il faut entendre toute la période d’activité restante sur laquelle un assuré peut compter avec vraisemblance en se fondant sur des données</w:t>
      </w:r>
    </w:p>
    <w:p>
      <w:r>
        <w:t>A/3188/2019 - 13/20 - statistiques valables (arrêt du Tribunal fédéral des assurances I 248/03 du 15 juin 2004 consid. 3).</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8</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L’art. 17 LPGA s’applique également à la décision par laquelle une rente échelonnée dans le temps est accordée avec effet rétroactif (arrêt du Tribunal fédéral 9C_244/2020 du 5 janvier 2021 consid. 4.3.1). De plus, les conditions de la révision au sens de l’art. 17 LPGA s’appliquent également par analogie dans le cas où la personne assurée présente une nouvelle demande de prestations de l’assurance-invalidité après qu’une demande antérieure a été rejetée (Margit MOSER-SZELESS in Commentaire romand LPGA, 2018, n. 10 ad art. 17 LPGA).</w:t>
      </w:r>
    </w:p>
    <w:p>
      <w:r>
        <w:rPr>
          <w:b/>
        </w:rPr>
        <w:t>E. 9</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w:t>
      </w:r>
    </w:p>
    <w:p>
      <w:r>
        <w:t>A/3188/2019 - 14/20 -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9C_92/2016 du 29 juin 2016 consid. 5.1 et les références). Dans un récent arrêt de principe, notre Haute Cour a précisé qu’en cas de réduction ou de suppression de la rente d’invalidité d’un assuré âgé de plus de 55 ans, il y a lieu, en principe, de mettre en œuvre des mesures de réadaptation également lorsque l’on statue sur la limitation ou l’échelonnement en même temps que sur l’octroi de la rente (ATF 145 V 209 consid. 5).</w:t>
      </w:r>
    </w:p>
    <w:p>
      <w:r>
        <w:rPr>
          <w:b/>
        </w:rPr>
        <w:t>E. 10</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11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w:t>
      </w:r>
    </w:p>
    <w:p>
      <w:r>
        <w:t>A/3188/2019 - 15/20 -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w:t>
      </w:r>
    </w:p>
    <w:p>
      <w:r>
        <w:t>A/3188/2019 - 16/20 -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kg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w:t>
      </w:r>
    </w:p>
    <w:p>
      <w:r>
        <w:rPr>
          <w:b/>
        </w:rPr>
        <w:t>E. 14</w:t>
      </w:r>
    </w:p>
    <w:p>
      <w:r>
        <w:t>Le recours est admis.</w:t>
      </w:r>
    </w:p>
    <w:p>
      <w:r>
        <w:rPr>
          <w:b/>
        </w:rPr>
        <w:t>E. 15</w:t>
      </w:r>
    </w:p>
    <w:p>
      <w:r>
        <w:t>Le recourant a droit à des dépens, qui seront fixés à CHF 2'000.- (art. 61 let. g LPGA). La procédure en matière d’octroi de prestations d’invalidité n’étant pas gratuite (cf. art. 69 al. 1bis LAI), l’intimé supporte l’émolument de procédure de CHF 200.-. * * * * * *</w:t>
      </w:r>
    </w:p>
    <w:p>
      <w:r>
        <w:t>A/3188/2019 - 20/20 -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