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ATAS/888/2024 vom 14. November 2024</w:t>
      </w:r>
    </w:p>
    <w:p>
      <w:r>
        <w:t>GE Cour de justice, 2024-11-14, FR</w:t>
      </w:r>
    </w:p>
    <w:p>
      <w:r>
        <w:rPr>
          <w:b/>
        </w:rPr>
        <w:t xml:space="preserve">Quelle: </w:t>
      </w:r>
      <w:r>
        <w:t>https://mcp.opencaselaw.ch/entscheid/ge_gerichte_ATAS_888_2024</w:t>
      </w:r>
    </w:p>
    <w:p>
      <w:r>
        <w:t>FR: GE_GERICHTE ATAS/888/2024 du 14 novembre 2024</w:t>
      </w:r>
    </w:p>
    <w:p>
      <w:r>
        <w:t>IT: GE_GERICHTE ATAS/888/2024 del 14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Au vu des conclusions prises dans le recours, le litige porte sur le droit de la recourante à une rente d’invalidité et à des mesures d’ordre professionnel.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il n’est pas contesté que le droit éventuel de la recourante à une rente d'invalidité est né antérieurement à cette date, de sorte que les dispositions légales applicables seront citées dans leur teneur en vigueur jusqu’au 31 décembre 2021.</w:t>
      </w:r>
    </w:p>
    <w:p>
      <w:r>
        <w:rPr>
          <w:b/>
        </w:rPr>
        <w:t>E. 3.2</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w:t>
      </w:r>
    </w:p>
    <w:p>
      <w:r>
        <w:t>A/542/2024 - 8/19 -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3.3.2</w:t>
      </w:r>
    </w:p>
    <w:p>
      <w:r>
        <w:t>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134 V 322 consid. 4 ; arrêt du Tribunal fédéral 9C_869/2017 du 4 mai 2018 consid. 2.2).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lorsque celui-ci a cessé son activité depuis plusieurs années (ATF 129 V 222 ; arrêt du Tribunal fédéral I 636/02 du 15 avril 2003 consid. 4.1) ou lorsque l’absence d’emploi est due à des motifs étrangers à l’invalidité (arrêt du Tribunal fédéral 9C_525/2021 du 31 mai 2022 consid. 6.2.1).</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A/542/2024 - 9/19 -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3.4.3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w:t>
      </w:r>
    </w:p>
    <w:p>
      <w:r>
        <w:t>A/542/2024 - 10/19 -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4.1</w:t>
      </w:r>
    </w:p>
    <w:p>
      <w:r>
        <w:t>En l’espèce, il convient d’examiner si la décision litigieuse est conforme aux principes qui précèdent s’agissant du droit à la rente. L’intimé a retenu qu’en raison des seules atteintes somatiques, la recourante a présenté une incapacité de travail totale dans son activité habituelle dès le 11 décembre 2016, mais une capacité de travail totale dans une activité adaptée à son état de santé depuis le 10 septembre 2018. Pour ce faire, l’intimé s’est fondé sur le rapport d’expertise des Drs G______ et F______, médecins auprès du SEM, ainsi que sur l’avis du SMR du 6 novembre 2023. La recourante conteste l’appréciation de l’intimé, en se basant, notamment, sur les rapports des Drs C______ et E______.</w:t>
      </w:r>
    </w:p>
    <w:p>
      <w:r>
        <w:rPr>
          <w:b/>
        </w:rPr>
        <w:t>E. 4.1.1</w:t>
      </w:r>
    </w:p>
    <w:p>
      <w:r>
        <w:t>En premier lieu, il convient d’examiner la valeur probante du rapport d’expertise du SEM.</w:t>
      </w:r>
    </w:p>
    <w:p>
      <w:r>
        <w:t>A/542/2024 - 11/19 - Par rapport du 9 octobre 2023, les Drs G______ et F______ ont conclu que la recourante ne présentait aucune atteinte psychiatrique. Par contre, en raison de ses atteintes somatiques, elle présentait des limitations fonctionnelles. Sa capacité de travail avait été nulle dès le 11 décembre 2016, mais entière dans une activité adaptée, sans diminution de rendement, deux ans après cette date. La chambre de céans constate que le rapport des Drs G______ et F______ remplit les exigences auxquelles la jurisprudence soumet la valeur probante d’un tel document, dès lors qu’il contient une anamnèse, le résumé des pièces principales du dossier, les indications subjectives de la recourante, des observations cliniques détaillées à la suite d’entretiens et d’examens approfondis, ainsi qu'une discussion consensuelle du cas. Leurs conclusions, qui résultent d’une analyse complète de la situation médicale, sont claires, bien motivées et convaincantes. Compte tenu de ce qui précède, la chambre de céans considère que le rapport d’expertise a pleine valeur probante et se rallie aux conclusions des experts, en tant qu’ils retiennent, en raison des atteintes somatiques, une capacité de travail à 100%, sans diminution de rendement, dans une activité adaptée respectant les limitations fonctionnelles dès deux ans après l’accident survenu en décembre 2016.</w:t>
      </w:r>
    </w:p>
    <w:p>
      <w:r>
        <w:rPr>
          <w:b/>
        </w:rPr>
        <w:t>E. 4.1.2</w:t>
      </w:r>
    </w:p>
    <w:p>
      <w:r>
        <w:t>La recourante conteste la valeur probante de l’expertise des Drs G______ et F______, faisant valoir que les limitations fonctionnelles prises en compte par l’intimé sont moins importantes que celles retenues par le Dr C______, lequel estimait nécessaire qu’elle puisse alterner les positions assise et debout (rapport du 13 décembre 2019). S’agissant des limitations fonctionnelles, les experts ont effectivement retenu uniquement les marches prolongées, les marches en terrain irrégulier, le port de charges supérieures à 5 kg et les travaux en porte-à-faux. Cela étant, contrairement à ce qu’avance la recourante, il y a lieu de relever que le SMR, dans son avis final du 6 novembre 2023, et partant, l’intimé, ne s’est pas limité aux indications données par les experts, mais a pris en considération la nécessité pour la recourante d’alterner des positions avec une position semi-assise, tout comme l’absence de port de charges, de déplacements, d’escaliers/échelles, d’accroupissement/position à genoux, la manutention d’objets lourds devant l’intéressée, avec un fauteuil ergonomique, sur un plan de travail rabaissé, sans travail des membres supérieurs au-delà de l’horizontale, ni gestes répétitifs, et sans travail en porte-à-faux du rachis. La recourante fait également valoir que les experts ont estimé que ses plaintes douloureuses étaient peu cohérentes et non plausibles, alors que selon les Drs C______ et E______, ses douleurs s’expliqueraient par la nature des lésions et seraient objectivables. La chambre de céans constate cependant que les experts ont, de manière convaincante, expliqué pour quelles raisons les plaintes douloureuses de la</w:t>
      </w:r>
    </w:p>
    <w:p>
      <w:r>
        <w:t>A/542/2024 - 12/19 - recourante étaient peu cohérentes et non plausibles, en relevant notamment qu’elle ne prenait qu’occasionnellement un traitement antalgique, qu’elle annonçait des douleurs à 10/10 pour des stimuli non nociceptifs, comme le simple fait de lever les bras vers l’avant sans aucune charge. Or, radiologiquement, les différentes fractures étaient consolidées, sans développement d’arthrose post-traumatique et la légère cyphose thoracique consécutive aux fractures des plateaux supérieurs de D5 à D7 n’expliquait pas le cortège de plaintes douloureuses et les symptômes allégués par la recourante, de sorte qu’il existait une importante auto-limitation et une perception élevée du handicap chez la recourante (ch. 6.2 rapport d’expertise). La recourante fait également valoir que les experts n’ont pas tenu compte des observations réalisées pendant les stages d’observation professionnelle. Si la Fondation PRO a effectivement relevé notamment qu’à 100%, le rendement de la recourante était de 20% seulement (rapport du 31 janvier 2023), il n’en demeure pas moins que selon la jurisprudence, les données médicales l'emportent sur les constatations qui peuvent être faites à l'occasion d'un stage d'observation professionnelle et qui sont susceptibles d'être influencées par des éléments subjectifs liés au comportement de la personne assurée (arrêt du Tribunal fédéral 8C_713/2019 du 12 août 2020 consid. 5.2). La recourante fait enfin valoir que les experts ne se sont pas prononcés sur les appréciations divergentes des Drs C______ et E______. S’agissant de la capacité de travail résiduelle de la recourante, la chambre de céans constate que le dossier ne contient pas d’appréciation médicale divergente puisque le Dr C______ a, tout comme les experts, retenu que l’intéressée présentait une capacité de travail totale dans une activité adaptée (rapport du 13 décembre 2019, p. 18). Quant au Dr E______, s’il a retenu une capacité de travail de 50% dans une activité en position assise, il ne s’est toutefois nullement prononcé sur la capacité de travail résiduelle de la recourante dans une activité adaptée (cf. rapports des 18 novembre 2022 et 8 mai 2023). Au vu de ce qui précède, il n'existe aucun élément concret permettant de s’écarter des conclusions des experts retenant, en raison des atteintes somatiques, une capacité de travail totale dans une activité adaptée dès deux ans après l’accident survenu en décembre 2016. Ainsi, la mise en œuvre d’une expertise médicale, demandée par la recourante, s’avère superflue par appréciation anticipée des preuves, de sorte que la conclusion préalable de la recourante doit être rejetée.</w:t>
      </w:r>
    </w:p>
    <w:p>
      <w:r>
        <w:rPr>
          <w:b/>
        </w:rPr>
        <w:t>E. 4.2</w:t>
      </w:r>
    </w:p>
    <w:p>
      <w:r>
        <w:t>Il convient de déterminer le taux d’invalidité que présentait la recourante, dont le statut est celui d’une assurée active à 100%.</w:t>
      </w:r>
    </w:p>
    <w:p>
      <w:r>
        <w:rPr>
          <w:b/>
        </w:rPr>
        <w:t>E. 4.2.1</w:t>
      </w:r>
    </w:p>
    <w:p>
      <w:r>
        <w:t>Chez les assurés actifs, le degré d'invalidité doit être évalué sur la base d'une comparaison des revenus. Pour cela, le revenu que l'assuré aurait pu réaliser s'il n'était pas invalide est comparé avec celui qu'il pourrait obtenir en exerçant</w:t>
      </w:r>
    </w:p>
    <w:p>
      <w:r>
        <w:t>A/542/2024 - 13/19 -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4.2.2</w:t>
      </w:r>
    </w:p>
    <w:p>
      <w:r>
        <w:t>Pour fixer le revenu sans invalidité, il faut établir ce que l'assuré aurait - au degré de la vraisemblance prépondérante - réellement pu obtenir au moment déterminant s'il n'était pas invalide (ATF 139 V 28 consid.</w:t>
      </w:r>
    </w:p>
    <w:p>
      <w:r>
        <w:rPr>
          <w:b/>
        </w:rPr>
        <w:t>E. 4.2.3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w:t>
      </w:r>
    </w:p>
    <w:p>
      <w:r>
        <w:t>A/542/2024 - 14/19 -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 arrêts du Tribunal fédéral 8C_46/2018 du 11 janvier 2019 consid. 4.4 et 8C_228/2017 du 14 juin 2017 consid. 4.2.2).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et les références ; voir aussi arrêt du Tribunal fédéral 9C_29/2012 du 27 juin 2012 consid. 4.2). C'est le lieu de préciser que les tables TA1, T1 et TA7 des ESS publiées jusqu'en 2010 correspondent respectivement aux tables TA1_skill_level, T1_tirage_skill_level et T17 des ESS publiées depuis 2012 (arrêt du Tribunal fédéral 8C_66/2020 du 14 avril 2020 consid. 4.2.2 et les références).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w:t>
      </w:r>
    </w:p>
    <w:p>
      <w:r>
        <w:t>A/542/2024 - 15/19 -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4.2.4</w:t>
      </w:r>
    </w:p>
    <w:p>
      <w:r>
        <w:t>La jurisprudence concernant l’utilisation de la table TA7 en lieu et place de la TA1, est applicable, mutatis mutandis, à la détermination du revenu sans invalidité lorsque celui-ci doit exceptionnellement être déterminé sur la base des tables ESS, étant donné que le revenu sans invalidité doit être évalué de la manière la plus concrète possible (arrêt du Tribunal fédéral 8C_66/2020 du 14 avril 2020 consid. 4.3 et les références).</w:t>
      </w:r>
    </w:p>
    <w:p>
      <w:r>
        <w:rPr>
          <w:b/>
        </w:rPr>
        <w:t>E. 4.2.5</w:t>
      </w:r>
    </w:p>
    <w:p>
      <w:r>
        <w:t>En l’occurrence, le début du droit éventuel à une rente d’invalidité a été, à juste titre, fixé six mois après la demande de prestations, reçue par l’intimé en juillet 2018, soit au 1er janvier 2019, en conformité avec l’art. 29 LAI. S’agissant du revenu sans invalidité, l’intimé a retenu un montant de CHF 54'783.- en se fondant sur la table ESS 2016 TA1_tirage_skill-level (secteur privé), ligne totale, niveau 1 (tâches physiques et manuelles simples), au motif que la recourante n’exerçait pas d’activité lucrative au début de son atteinte à la santé en décembre 2016 et qu’elle était aidée financièrement par l’hospice depuis le mois de mai 2015. La recourante ne conteste pas l’utilisation des données statistiques pour fixer son revenu sans invalidité, mais critique le choix de la table utilisée par l’intimé, faisant valoir qu’il se justifie d’appliquer la table T17, qui serait plus appropriée. Dès lors qu’au moment de la survenance de son incapacité de travail durable, en décembre 2016, la recourante émargeait auprès de l’hospice depuis plus d’une année et demie, le revenu sans invalidité doit effectivement être déterminé sur la base des tables ESS. Cela étant, dans la mesure où la recourante est au bénéfice d’une longue expérience professionnelle dans le domaine administratif (secrétaire/assistante) et d’un CFC d’employée de commerce obtenu en 2016, il y a lieu, conformément à la jurisprudence (cf. arrêt du Tribunal fédéral 8C_66/2020 du 14 avril 2020 consid. 4.3 et les références), de se fonder sur la table T17, groupe 4 (« employé(e)s de type administratif »), laquelle se révèle appropriée car elle permet d’évaluer le revenu que la recourante aurait réalisé sans l’atteinte à la santé, en tant qu’employée de commerce avec un CFC, et ce de manière plus concrète que la table TA1_tirage_skill_level, ligne totale. Selon la table T17, le revenu mensuel est de CHF 5'835.- (année 2018, « employé(e)s de type administratif », total femmes, tous âges confondus [à cet égard, cf. arrêt du Tribunal fédéral 8C_66/2020 du 14 avril 2020 consid. 4.3]), soit CHF 70'020.- (5’835 x 12) en 2018. Comme les salaires bruts standardisés tiennent compte d'un horaire de 40 heures, soit d'une durée hebdomadaire de</w:t>
      </w:r>
    </w:p>
    <w:p>
      <w:r>
        <w:t>A/542/2024 - 16/19 - travail inférieure à la moyenne usuelle dans la branche en 2018 (42.2 heures par semaine ; Office fédéral de la statistique - statistique de la durée normale du travail dans les entreprises, DNT ; T 03.02.03.01.04.01), ce montant doit être porté à CHF 73'871.10 (70’020 x 42.2 / 40), puis à CHF 74'601.15 (73'871.10 x 2759 / 2732) pour un plein temps, une fois indexé à 2019 - année déterminante pour le calcul du degré d'invalidité - selon l'évolution des salaires en termes nominaux pour les femmes (2018 : 2732 et 2019 : 2759). S’agissant du salaire avec invalidité, l'intimé a retenu le montant de CHF 49'304.- en se fondant sur les ESS et en appliquant un abattement de 10%. La recourante fait valoir que le revenu avec invalidité doit être fixé à CHF 19'795.-, compte tenu d’une capacité de travail résiduelle de 50% dans une activité adaptée, et d’un abattement de 10%. Étant donné que la recourante n'a pas repris d'activité adaptée lui permettant de mettre pleinement en valeur sa capacité de travail résiduelle, il convient de se référer au revenu tiré des activités simples et répétitives pour une femme (ESS 2018, TA1_tirage_skill-level [secteur privé], ligne totale, niveau 1 [tâches physiques ou manuelles simples]), soit CHF 4'371.- par mois et CHF 52’452.- (4’371 x 12) en 2018. Comme les salaires bruts standardisés tiennent compte d'un horaire de 40 heures, soit d'une durée hebdomadaire de travail inférieure à la moyenne usuelle dans les entreprises en 2018 (41.7 heures par semaine ; Office fédéral de la statistique - statistique de la durée normale du travail dans les entreprises, DNT, T 03.02.03.01.04.01), ce montant doit être porté à CHF 54’681.20 (CHF 52’452.- x 41.7 / 40), puis à CHF 55'221.60 (54'681.20 x 2759 / 2732) pour un plein temps, une fois indexé à 2019 - année déterminante pour le calcul du degré d'invalidité - selon l'évolution des salaires en termes nominaux pour les femmes (2018 : 2732 et 2019 : 2759). L'abattement de 10%, retenu par l'intimé pour tenir compte des limitations fonctionnelles de la recourante, lesquelles sont particulièrement restrictives, est justifié, et n’est, au demeurant, pas contesté par l’intéressée, étant précisé que les autres critères relatifs à l’âge, aux années de service, à la nationalité/catégorie d'autorisation de séjour et au taux d'occupation n'entrent pas, en l'espèce, en ligne de compte. Il en résulte un revenu avec invalidité de CHF 49'699.40. La comparaison du salaire annuel sans invalidité (74'601.15) avec le salaire avec invalidité (49'699.40) aboutit à un degré d’invalidité de 33% (74'601.15 - 49'699.40 / 74'601.15 x 100), selon les règles applicables en mathématiques (ATF 130 V 121 consid. 3.2), soit un taux n’ouvrant pas le droit à une rente d’invalidité. En conséquence, la décision litigieuse, en tant qu’elle refuse à la recourante tout droit à une rente, ne peut qu’être confirmée.</w:t>
      </w:r>
    </w:p>
    <w:p>
      <w:r>
        <w:t>A/542/2024 - 17/19 -</w:t>
      </w:r>
    </w:p>
    <w:p>
      <w:r>
        <w:rPr>
          <w:b/>
        </w:rPr>
        <w:t>E. 4.3</w:t>
      </w:r>
    </w:p>
    <w:p>
      <w:r>
        <w:t>Reste à examiner si la recourante a droit à l’octroi de mesures d’ordre professionnel.</w:t>
      </w:r>
    </w:p>
    <w:p>
      <w:r>
        <w:rPr>
          <w:b/>
        </w:rPr>
        <w:t>E. 4.3.1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notamment les mesures d’ordre professionnel, lesquelles englobent l’orientation professionnelle, la formation professionnelle initiale, le reclassement, le placement et l’aide en capital.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soit 20% environ, pour que le droit à un reclassement soit ouvert (ATF 130 V 488 consid. 4.2 ; 124 V 108 consid. 3a).</w:t>
      </w:r>
    </w:p>
    <w:p>
      <w:r>
        <w:t>A/542/2024 - 18/19 -</w:t>
      </w:r>
    </w:p>
    <w:p>
      <w:r>
        <w:rPr>
          <w:b/>
        </w:rPr>
        <w:t>E. 4.3.2</w:t>
      </w:r>
    </w:p>
    <w:p>
      <w:r>
        <w:t>En l’occurrence, l’intimé a rejeté le droit de la recourante à un reclassement au seul motif que sa perte de gain, de 10%, était insuffisante. Or, dans la mesure où la recourante présente un degré d’invalidité de 33%, lequel est suffisant pour ouvrir un droit éventuel à un reclassement, il y a lieu de renvoyer la cause à l’intimé afin qu’il examine si l’intéressée remplit les autres conditions nécessaires à l’octroi de cette mesure de réadaptation, puis rende une nouvelle décision.</w:t>
      </w:r>
    </w:p>
    <w:p>
      <w:r>
        <w:rPr>
          <w:b/>
        </w:rPr>
        <w:t>E. 5.1</w:t>
      </w:r>
    </w:p>
    <w:p>
      <w:r>
        <w:t>Au vu de ce qui précède, le recours sera partiellement admis, la décision litigieuse annulée dans la mesure où elle nie le droit à un reclassement, et confirmée pour le surplus, la cause étant renvoyée à l’intimé pour instruction complémentaire sur l’octroi d’un reclassement, et nouvelle décision.</w:t>
      </w:r>
    </w:p>
    <w:p>
      <w:r>
        <w:rPr>
          <w:b/>
        </w:rPr>
        <w:t>E. 5.2</w:t>
      </w:r>
    </w:p>
    <w:p>
      <w:r>
        <w:t>La recourante, obtenant partiellement gain de cause et étant assistée d’un conseil, a droit à des dépens (art. 61 let. g LPGA, 89H al. 3 LPA et 6 du règlement sur les frais, émoluments et indemnités en matière administrative du 30 juillet 1986 [RFPA - E 5 10.03]), qui seront fixés à CHF 2'000.- et mis à la charge de l’intimé.</w:t>
      </w:r>
    </w:p>
    <w:p>
      <w:r>
        <w:rPr>
          <w:b/>
        </w:rPr>
        <w:t>E. 5.3</w:t>
      </w:r>
    </w:p>
    <w:p>
      <w:r>
        <w:t>Pour le surplus, il y a lieu de condamner l'intimé au paiement d'un émolument de CHF 200.- (art. 69 al. 1bis LAI).</w:t>
      </w:r>
    </w:p>
    <w:p>
      <w:r>
        <w:t>A/542/2024 - 19/19 -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