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ATAS/888/2023 vom 16. November 2023</w:t>
      </w:r>
    </w:p>
    <w:p>
      <w:r>
        <w:t>GE Cour de justice, 2023-11-16, FR</w:t>
      </w:r>
    </w:p>
    <w:p>
      <w:r>
        <w:rPr>
          <w:b/>
        </w:rPr>
        <w:t xml:space="preserve">Quelle: </w:t>
      </w:r>
      <w:r>
        <w:t>https://mcp.opencaselaw.ch/entscheid/ge_gerichte_ATAS_888_2023</w:t>
      </w:r>
    </w:p>
    <w:p>
      <w:r>
        <w:t>FR: GE_GERICHTE ATAS/888/2023 du 16 novembre 2023</w:t>
      </w:r>
    </w:p>
    <w:p>
      <w:r>
        <w:t>IT: GE_GERICHTE ATAS/888/2023 del 16 novembre 2023</w:t>
      </w:r>
    </w:p>
    <w:p>
      <w:pPr>
        <w:pStyle w:val="Heading2"/>
      </w:pPr>
      <w:r>
        <w:t>Erwägungen</w:t>
      </w:r>
    </w:p>
    <w:p>
      <w:r>
        <w:rPr>
          <w:b/>
        </w:rPr>
        <w:t>E. 9</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w:t>
      </w:r>
    </w:p>
    <w:p>
      <w:r>
        <w:t>A/4350/2022 - 18/31 - 2.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 comorbidité »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la référence). Il est nécessaire de procéder à une approche globale de l’influence du trouble avec l’ensemble des pathologies concomitantes. Une atteinte qui, selon la jurisprudence, ne peut pas être invalidante en tant que telle (cf.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t>A/4350/2022 - 19/31 -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Étant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w:t>
      </w:r>
    </w:p>
    <w:p>
      <w:r>
        <w:t>A/4350/2022 - 20/31 -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10</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w:t>
      </w:r>
    </w:p>
    <w:p>
      <w:r>
        <w:t>A/4350/2022 - 21/31 - lui seul, pour nier le caractère invalidant de celle-ci ; la question déterminante est en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11.1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t>A/4350/2022 - 22/31 -</w:t>
      </w:r>
    </w:p>
    <w:p>
      <w:r>
        <w:rPr>
          <w:b/>
        </w:rPr>
        <w:t>E. 11.2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11.3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Le fait qu'une expertise psychiatrique n'a pas été établie selon les nouveaux standards - ou n'en suit pas exactement la structure -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ATF 137 V 210 consid. 6 ; arrêt du Tribunal fédéral 9C_808/2019 du 18 août 2020 consid. 5.2).</w:t>
      </w:r>
    </w:p>
    <w:p>
      <w:r>
        <w:t>A/4350/2022 - 23/31 -</w:t>
      </w:r>
    </w:p>
    <w:p>
      <w:r>
        <w:rPr>
          <w:b/>
        </w:rPr>
        <w:t>E. 11.4</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11.5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11.6</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t>A/4350/2022 - 24/31 -</w:t>
      </w:r>
    </w:p>
    <w:p>
      <w:r>
        <w:rPr>
          <w:b/>
        </w:rPr>
        <w:t>E. 12</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13.1</w:t>
      </w:r>
    </w:p>
    <w:p>
      <w:r>
        <w:t>Le point de départ de l'évaluation prévue pour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w:t>
      </w:r>
    </w:p>
    <w:p>
      <w:r>
        <w:rPr>
          <w:b/>
        </w:rPr>
        <w:t>E. 13.2</w:t>
      </w:r>
    </w:p>
    <w:p>
      <w:r>
        <w:t>Dans un arrêt de principe du 2 décembre 2019 (ATF 145 V 361), le Tribunal fédéral, à la lumière de l'ATF 141 V 281,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c'est-à-dire qu'ils doivent se référer en détails aux résultats médico-psychiatriques des examens</w:t>
      </w:r>
    </w:p>
    <w:p>
      <w:r>
        <w:t>A/4350/2022 - 25/31 - et explorations cliniques menés dans les règles de l’art qui relèvent de leur compétence. Le médecin doit donc exposer de manière détaillée les raisons médico- 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 l’administration ou le juge. À défaut, il se justifie, juridiquement, de s'en écarter (ATF 145 V 361 consid. 4.3 et la référence).</w:t>
      </w:r>
    </w:p>
    <w:p>
      <w:r>
        <w:rPr>
          <w:b/>
        </w:rPr>
        <w:t>E. 13.3</w:t>
      </w:r>
    </w:p>
    <w:p>
      <w:r>
        <w:t>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 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w:t>
      </w:r>
    </w:p>
    <w:p>
      <w:r>
        <w:t>A/4350/2022 - 26/31 - et structurée ne doit pas être entreprise (cf.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w:t>
      </w:r>
    </w:p>
    <w:p>
      <w:r>
        <w:rPr>
          <w:b/>
        </w:rPr>
        <w:t>E. 14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15</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t>A/4350/2022 - 27/31 -</w:t>
      </w:r>
    </w:p>
    <w:p>
      <w:r>
        <w:rPr>
          <w:b/>
        </w:rPr>
        <w:t>E. 16</w:t>
      </w:r>
    </w:p>
    <w:p>
      <w:r>
        <w:t>En l’espèce, le recourant considère que sa capacité de travail ne s’est pas améliorée à partir du 1er janvier 2020, dès lors qu’il n’y a pas eu d’amélioration de sa santé. Il conteste la valeur probante de l’expertise psychiatrique diligentée par l’OAI et critique le volet neurologique. L’OAI en revanche, estime que le rapport d’expertise du 22 avril 2022 présente une entière valeur probante et que ses conclusions peuvent être suivies.</w:t>
      </w:r>
    </w:p>
    <w:p>
      <w:r>
        <w:rPr>
          <w:b/>
        </w:rPr>
        <w:t>E. 16.1</w:t>
      </w:r>
    </w:p>
    <w:p>
      <w:r>
        <w:t>Les médecins de la SUVA ont considéré que dans une activité adaptée, le recourant présentait une capacité de travail totale. Force est de constater que ces conclusions correspondent à celles des médecins traitants du recourant, s’agissant de l’incidence des atteintes somatiques. Le Dr C______ considérait, en effet, une reprise possible dès le 1er avril 2019 déjà. Le Dr F______ indiquait quant à lui, en mai 2019, qu’à long terme, du point de vue orthopédique, il n’y aurait pas d’obstacle à la reprise d’une activité adaptée. Il a confirmé en juin 2020 que les arrêts de travail étaient imputables, non pas à des atteintes physiques, mais psychiques, et il a précisé qu’il avait suggéré une réflexion sur une reprise professionnelle au recourant, ce qui démontre qu’il ne l’exclut pas. S’agissant des limitations fonctionnelles, le Dr F______ rejoint également le Dr G______, dès lors qu’il évoque uniquement une restriction des déplacements. Le fait que ce neurologue n’ait pas lui-même émis de limitations fonctionnelles ne signifie pas qu’il n’a pas procédé à sa propre évaluation, mais simplement que l’atteinte neurologique ne justifie pas de restrictions supplémentaires et que les limitations fonctionnelles sur ce plan se recoupent avec celles décrites par le Dr G______. En ce qui concerne l’insuffisance surrénalienne, dès lors qu’elle peut être traitée avec de l’hydrocortisone, il n’apparaît pas que cette pathologie, correctement substituée, entraînerait une quelconque limitation fonctionnelle.</w:t>
      </w:r>
    </w:p>
    <w:p>
      <w:r>
        <w:rPr>
          <w:b/>
        </w:rPr>
        <w:t>E. 16.2</w:t>
      </w:r>
    </w:p>
    <w:p>
      <w:r>
        <w:t>En ce qui concerne les conclusions des experts mandatés par l’OAI, on peut ici préciser que les rapports des Drs N______ et K______ contiennent tous les éléments formels requis par la jurisprudence pour se voir reconnaître une pleine valeur probante. En effet, ceux-ci ont pris connaissance de l’ensemble du dossier du recourant, dont ils ont relaté l’anamnèse et les plaintes. Ils ont procédé à des examens cliniques dont ils ont détaillé les résultats, et leurs diagnostics sont motivés, à l’instar de leurs conclusions – qui correspondent à celles des autres médecins au plan somatique. Le grief du recourant selon lequel un nouvel ENMG aurait dû être réalisé ne saurait en aucun cas remettre en question la valeur probante de l’expertise neurologique, dès lors que l’expert neurologue s’est fondé sur les ENMG réalisés précédemment, qui avaient permis de constater une atteinte lésionnelle du nerf fibulaire, mais à l’exception de la composante douloureuse, il n’existait pas de répercussions fonctionnelles évidentes de cette lésion lors de l’examen clinique. Partant, la chambre de céans considère que les conclusions des experts N______ et K______ peuvent être suivies.</w:t>
      </w:r>
    </w:p>
    <w:p>
      <w:r>
        <w:t>A/4350/2022 - 28/31 - Dès lors, par appréciation anticipée des preuves (arrêt du Tribunal fédéral 9C_97/2020 du 10 juin 2020 consid. 3.2), la chambre de céans ne mettra pas en œuvre une nouvelle expertise neurologique. Étant encore précisé que le recourant ne produit à l’appui de son recours aucune pièce médicale nouvelle qui justifierait que l’on s’écartât des appréciations de l’expert en neurologie.</w:t>
      </w:r>
    </w:p>
    <w:p>
      <w:r>
        <w:rPr>
          <w:b/>
        </w:rPr>
        <w:t>E. 16.3</w:t>
      </w:r>
    </w:p>
    <w:p>
      <w:r>
        <w:t>En ce qui concerne le volet psychiatrique du rapport d’expertise du 22 avril 2022, la chambre de céans s’est déjà prononcée dans l’arrêt rendu en date du 3 août 2023, dans le cadre de la procédure qui opposait le recourant à la SUVA, et a considéré que le rapport d’expertise psychiatrique rédigé par le Dr J______ ne présentait pas de valeur probante. Aucun élément ne permet de s’écarter de cette appréciation dans la présente procédure. En premier lieu, si l’expert J______ a, en effet, énuméré toute une série de symptômes qu’il n’a pas constatés, son expertise – qui contient de très nombreuses redites – ne relate guère ses observations concrètes, notamment s’agissant de la symptomatologie dépressive et anxieuse, dont il admet l’existence mais qu’il considère d’intensité moyenne. Il semble du reste relativiser une symptomatologie dépressive intense au motif qu’il n’aurait pas constaté de fatigue durant l’entretien, ce qui n’est pas suffisamment motivé à défaut d’analyse des autres critères diagnostiques. On relève également certaines contradictions. On comprend mal comment l’expert peut dans la même phrase indiquer que « [le recourant] ne pleure pas, ne sourit pas, ne plaisante pas, il a de l’humour ». Il affirme également que le recourant ne présenterait pas de symptomatologie dépressive intense qui aurait empêché totalement les activités sociales, familiales et ménagères, alors même que le ménage incombe entièrement à l’épouse du recourant, que celui-ci n’a guère d’activités de loisir – hormis quelques heures passées sur sa terrasse et la télévision – et que le psychiatre note qu’il paraît assez isolé – ce que confirme notamment l’analyse d’une journée-type. Le psychiatre paraît écarter tout trouble du sommeil, alors même que le recourant rapporte des cauchemars et se dit fatigué. Ce rapport est en outre parfois peu clair. On ne comprend ainsi pas quel diagnostic l’expert exclut en raison de « la majoration de symptômes non homogènes ». Par ailleurs, alors même que le Dr J______ a retenu des diagnostics psychiques, il se contente d’affirmer qu’il n’y a jamais eu d’incapacité de travail au plan psychique, ce qui n’est ici aussi pas suffisamment motivé. Il était indispensable qu’il explique, ou à tout le moins qu’il esquisse, les raisons qui lui permettent d’écarter toute incidence de ces troubles sur la capacité de travail du recourant, a fortiori dès lors qu’il s’écarte de l’avis de la psychiatre traitante et des autres médecins. On rappellera ici que le Dr F______ a signalé une problématique de cet ordre, et que le Dr G______ a quant à lui mentionné des troubles de la thymie « évidents ». Certes, ces deux médecins ne sont pas psychiatres. La mention de troubles psychiques dans leurs rapports tend cependant à démontrer que ceux-ci étaient patents, puisque détectables même par un non-spécialiste, ce qui permet de supposer qu’ils</w:t>
      </w:r>
    </w:p>
    <w:p>
      <w:r>
        <w:t>A/4350/2022 - 29/31 - revêtaient une certaine intensité. Dans ces circonstances, le rapport du Dr J______ ne permet pas de comprendre comment il a pu écarter toute répercussion passée ou actuelle des atteintes du recourant. Il n’a pas non plus motivé les raisons pour lesquelles il se distancie de l’avis de la Dre D______. Les indicateurs jurisprudentiels rappelés ci-dessus, sous ch. 9, ne sont en outre pas analysés à satisfaction de droit. Comme on l’a vu, le Dr J______ nie la gravité des atteintes psychiques, sans avoir suffisamment motivé cette conclusion. S’agissant de la cohérence, elle n’est pas examinée en lien avec les répercussions homogènes dans tous les domaines de la vie, notamment les loisirs. Les ressources ne sont guère décrites, le médecin s’étant référé à l’outil mini CIF-App. Cet instrument d’investigation évalue quantitativement la capacité d’assurés atteints de troubles psychiques, pour une liste d’items tels que par exemple l’adaptation à des règles et à des routines, la flexibilité et capacité d’adaptation ou la planification et structuration des tâches (sur ce point, cf. Lignes directrices de qualité des expertises de psychiatrie d’assurance, Société suisse de psychiatrie et psychothérapie, dans leur 3ème éd. du 16 juin 2016, accessibles sur https://www.ai-pro-medico.ch/ fileadmin/documents/f_lignes_directrices_expertises_psychiatriques_assurances_- _2016_06_16_def.pdf). Cela étant, l’expert psychiatre n’a fourni aucune information pour vérifier l’absence de limitations qu’il retient. On rappelle ici qu’il a par ailleurs relaté un manque de flexibilité. Il ne donne pas d’autres indications sur les ressources, alors même que le recourant ne semble pas bénéficier d’un bon étayage social, et que ses capacités intellectuelles seraient limitées selon la Dre D______. Enfin, le Dr J______ ne se prononce pas du tout sur plusieurs des critères pertinents selon la jurisprudence. Compte tenu des éléments qui précèdent, le volet psychiatrique de l’expertise du 22 avril 2022 ne peut se voir reconnaître une valeur probante.</w:t>
      </w:r>
    </w:p>
    <w:p>
      <w:r>
        <w:rPr>
          <w:b/>
        </w:rPr>
        <w:t>E. 16.4</w:t>
      </w:r>
    </w:p>
    <w:p>
      <w:r>
        <w:t>S’agissant des critiques du recourant sur l’absence d’un réel consilium, elles sont vaines, dans la mesure où l’expertise contient un chapitre consilium, soit une appréciation globale de synthèse dans le cadre d’une discussion interdisciplinaire (arrêt du Tribunal fédéral 9C_282/2012 du 29 août 2012 consid. 4.1).</w:t>
      </w:r>
    </w:p>
    <w:p>
      <w:r>
        <w:rPr>
          <w:b/>
        </w:rPr>
        <w:t>E. 16.5</w:t>
      </w:r>
    </w:p>
    <w:p>
      <w:r>
        <w:t>Lorsque le juge constate qu'une expertise est nécessaire, il doit en principe la mettre en œuvre lui-même. Un renvoi à l'administration reste cependant possible lorsqu'il est justifié par l'examen d'un point qui n'a pas du tout été investigué (ATF 137 V 210 consid. 4.4.1.3 et 4.4.1.4). Dans le dispositif de l’arrêt du 3 août 2023 rendu par la chambre de céans, la cause a été renvoyée à la SUVA pour instruction complémentaire, soit mettre en œuvre une expertise qu’elle confiera à un spécialiste en psychiatrie et rendre une nouvelle décision au sens des considérants. Par économie de procédure, il sera renoncé à ordonner à l’OAI une semblable mesure qui ferait double emploi, mais la cause lui sera renvoyée et il lui sera ordonné de coordonner avec la SUVA la mission d’expertise psychiatrique, de telle</w:t>
      </w:r>
    </w:p>
    <w:p>
      <w:r>
        <w:t>A/4350/2022 - 30/31 - manière que l’expertise diligentée par la SUVA suite à l’arrêt du 3 août 2023, soit complétée conformément aux conditions fixées sous ch. 9 supra, afin de pouvoir être utilisée par l’OAI et de répondre à la question de l’éventuelle amélioration de l’état de santé, sous l’angle des troubles psychiques et, le cas échéant, la date de début de l’amélioration. Cela fait, il appartiendra à l’intimé de statuer une nouvelle fois sur le droit aux prestations du recourant.</w:t>
      </w:r>
    </w:p>
    <w:p>
      <w:r>
        <w:rPr>
          <w:b/>
        </w:rPr>
        <w:t>E. 16.6</w:t>
      </w:r>
    </w:p>
    <w:p>
      <w:r>
        <w:t>Compte tenu du renvoi de la cause, les griefs du recourant quant aux modalités de calcul de la rente et plus particulièrement le taux retenu pour l’abattement, n’ont pas à être examinés à ce stade.</w:t>
      </w:r>
    </w:p>
    <w:p>
      <w:r>
        <w:rPr>
          <w:b/>
        </w:rPr>
        <w:t>E. 17</w:t>
      </w:r>
    </w:p>
    <w:p>
      <w:r>
        <w:t>Le recours est partiellement admis.</w:t>
      </w:r>
    </w:p>
    <w:p>
      <w:r>
        <w:rPr>
          <w:b/>
        </w:rPr>
        <w:t>E. 18</w:t>
      </w:r>
    </w:p>
    <w:p>
      <w:r>
        <w:t>Assisté par un mandataire professionnellement qualifié et obtenant partiellement gain de cause, le recourant a droit à des dépens, qui seront fixés à CHF 2'000.- (art. 61 let. g LPGA).</w:t>
      </w:r>
    </w:p>
    <w:p>
      <w:r>
        <w:rPr>
          <w:b/>
        </w:rPr>
        <w:t>E. 19</w:t>
      </w:r>
    </w:p>
    <w:p>
      <w:r>
        <w:t>Au vu du sort du recours, il y a lieu de condamner l'intimé au paiement d'un émolument de CHF 200.- (art. 69 al. 1bis LAI).</w:t>
      </w:r>
    </w:p>
    <w:p>
      <w:r>
        <w:t>A/4350/2022 - 31/31 -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