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ATAS/888/2011 vom 27. September 2011</w:t>
      </w:r>
    </w:p>
    <w:p>
      <w:r>
        <w:t>GE Cour de justice, 2011-09-27, FR</w:t>
      </w:r>
    </w:p>
    <w:p>
      <w:r>
        <w:rPr>
          <w:b/>
        </w:rPr>
        <w:t xml:space="preserve">Quelle: </w:t>
      </w:r>
      <w:r>
        <w:t>https://mcp.opencaselaw.ch/entscheid/ge_gerichte_ATAS_888_2011</w:t>
      </w:r>
    </w:p>
    <w:p>
      <w:r>
        <w:t>FR: GE_GERICHTE ATAS/888/2011 du 27 septembre 2011</w:t>
      </w:r>
    </w:p>
    <w:p>
      <w:r>
        <w:t>IT: GE_GERICHTE ATAS/888/2011 del 27 settembre 2011</w:t>
      </w:r>
    </w:p>
    <w:p>
      <w:pPr>
        <w:pStyle w:val="Heading2"/>
      </w:pPr>
      <w:r>
        <w:t>Erwägungen</w:t>
      </w:r>
    </w:p>
    <w:p>
      <w:r>
        <w:rPr>
          <w:b/>
        </w:rPr>
        <w:t>E. 26</w:t>
      </w:r>
    </w:p>
    <w:p>
      <w:r>
        <w:t>septembre 2010 (LOJ; RS E 2 05) en vigueur dès le 1er janvier 2011, en matière d'allocations familiales cantonales ; Que sa compétence pour juger du cas d’espèce est ainsi établie ;</w:t>
      </w:r>
    </w:p>
    <w:p>
      <w:r>
        <w:t>A/2579/2011 - 3/5 - Que la LPGA, entrée en vigueur le 1er janvier 2003, est applicable ; Que conformément à l’art. 56 al. 2 LPGA, un recours peut également être formé lorsque l'assureur, malgré la demande de l'intéressé, ne rend pas de décision ou de décision sur opposition ; Que le retard injustifié à statuer est une forme particulière du déni de justice prohibé par l'art. 29 al. 1 Cst et l'art. 6 § 1 CEDH (qui n'offre à cet égard pas une protection plus étendue [ATF 103 V 190 consid. 2 p. 192]) ; qu'il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 qu'entre autres critères sont notamment déterminants le degré de complexité de l'affaire, l'enjeu que revêt le litige pour l'intéressé ainsi que le comportement de ce dernier et celui des autorités compétentes (ATF 130 I 312 consid. 5.2 p. 332; 125 V 188 consid. 2a p. 191) ; qu'à cet égard, il appartient, d'une part, au justiciable d'entreprendre certaines démarches pour inviter l'autorité à faire diligence, notamment en incitant celle-ci à accélérer la procédure ou en recourant pour retard injustifié ; que d'autre part, si on ne saurait reprocher à l'autorité quelques "temps morts", qui sont inévitables dans une procédure, elle ne peut invoquer une organisation déficiente ou une surcharge structurelle pour justifier la lenteur excessive de la procédure ; que peu importe le motif qui est à l’origine du refus de statuer ou du retard injustifié ; que ce qui est déterminant, c’est le fait que l’autorité n’ait pas agi ou qu’elle ait agi avec retard (ATF C 53/01 du 30 avril 2001 consid. 2 ; ATF du 23 avril 2003 en la cause I 819/02 consid. 2.1 ; ATF 124 V 133, 117 Ia 117 consid. 3a, 197 consid. 1c, 108 V 20 consid. 4c) ; Qu'en droit des assurances sociales, la procédure de première instance est par ailleurs gouvernée par le principe de célérité ; que ce principe est consacré à l'art. 61 let. a LPGA qui exige des cantons que la procédure soit simple et rapide et constitue l'expression d'un principe général du droit des assurances sociales (ATF 110 V 54 consid. 4b p. 61) ; Que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 que pour le surplus, l'autorité saisie d'un recours pour retard injustifié ne saurait se substituer à l'autorité précédente pour statuer au fond ; qu'elle ne peut qu'inviter l'autorité concernée à statuer à bref délai (ATF 130 V 90) ; Qu'en l’espèce, la Caisse a rendu une décision le 19 septembre 2011 ; que dès lors la question de savoir si elle a commis ou non un déni de justice peut en l'occurrence rester</w:t>
      </w:r>
    </w:p>
    <w:p>
      <w:r>
        <w:t>A/2579/2011 - 4/5 - ouverte ; qu'en effet l'intéressé n'a plus d'intérêt juridique actuel et pratique au recours (ATF 123 II 286 ; arrêt du TF du 15 octobre 2003, B64/03) ; Que partant, le recours est devenu sans objet, de sorte que la cause peut être rayée du rôle ;</w:t>
      </w:r>
    </w:p>
    <w:p>
      <w:r>
        <w:t>A/2579/2011 - 5/5 -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