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ATAS/887/2023 vom 16. November 2023</w:t>
      </w:r>
    </w:p>
    <w:p>
      <w:r>
        <w:t>GE Cour de justice, 2023-11-16, FR</w:t>
      </w:r>
    </w:p>
    <w:p>
      <w:r>
        <w:rPr>
          <w:b/>
        </w:rPr>
        <w:t xml:space="preserve">Quelle: </w:t>
      </w:r>
      <w:r>
        <w:t>https://mcp.opencaselaw.ch/entscheid/ge_gerichte_ATAS_887_2023</w:t>
      </w:r>
    </w:p>
    <w:p>
      <w:r>
        <w:t>FR: GE_GERICHTE ATAS/887/2023 du 16 novembre 2023</w:t>
      </w:r>
    </w:p>
    <w:p>
      <w:r>
        <w:t>IT: GE_GERICHTE ATAS/887/2023 del 16 novembre 2023</w:t>
      </w:r>
    </w:p>
    <w:p>
      <w:pPr>
        <w:pStyle w:val="Heading2"/>
      </w:pPr>
      <w:r>
        <w:t>Erwägungen</w:t>
      </w:r>
    </w:p>
    <w:p>
      <w:r>
        <w:rPr>
          <w:b/>
        </w:rPr>
        <w:t>E. 6</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7.1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t>A/3675/2021 - 12/31 -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7.2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7.3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7.4</w:t>
      </w:r>
    </w:p>
    <w:p>
      <w:r>
        <w:t>Le juge peut accorder pleine valeur probante aux rapports et expertises établis par les médecins d'un assureur social aussi longtemps que ceux-ci aboutissent à des résultats convaincants, que leurs conclusions sont sérieusement motivées, que ces</w:t>
      </w:r>
    </w:p>
    <w:p>
      <w:r>
        <w:t>A/3675/2021 - 13/31 -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 références ; ATF 135 V 465 consid. 4.4 et les références). En effet, si la jurisprudence a reconnu la valeur probante des rapports médicaux des médecins- 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w:t>
      </w:r>
    </w:p>
    <w:p>
      <w:r>
        <w:rPr>
          <w:b/>
        </w:rPr>
        <w:t>E. 7.5</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7.6</w:t>
      </w:r>
    </w:p>
    <w:p>
      <w:r>
        <w:t>Un rapport du SMR a pour fonction d'opérer la synthèse des renseignements médicaux versés au dossier, de prendre position à leur sujet et de prodiguer des</w:t>
      </w:r>
    </w:p>
    <w:p>
      <w:r>
        <w:t>A/3675/2021 - 14/31 -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7.7</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7.8</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8</w:t>
      </w:r>
    </w:p>
    <w:p>
      <w:r>
        <w:t>Dans l'assurance-invalidité, l'invalidité est survenue dès qu'elle est, par sa nature et sa gravité, propre à ouvrir droit aux prestations entrant en considération. S'agissant</w:t>
      </w:r>
    </w:p>
    <w:p>
      <w:r>
        <w:t>A/3675/2021 - 15/31 - de la détermination du droit à une rente d'invalidité, il faut ainsi examiner si les conditions de l'art. 28 al. 1 LAI sont remplies. Contrairement à l'assurance- invalidité, l'assurance-accidents est, quant à elle, chargée du traitement de l'atteinte à la santé (cf. art. 10 de la loi fédérale sur l'assurance-accidents du 20 mars 1981 [LAA - RS 832.20]) et le droit à une rente de cette assurance ne dépend pas de la durée de l'incapacité de travail, mais du moment à partir duquel il n'y a plus lieu d'attendre de la continuation du traitement médical une sensible amélioration de l'état de l'assuré et du terme d'éventuelles mesures de réadaptation de l'assurance- invalidité. Les offices AI n'ont, quant à eux, pas à attendre l'issue des mesures thérapeutiques, ni la stabilisation du cas, mais sont tenus d'évaluer la capacité de gain des assurés bien avant (arrêt du Tribunal fédéral 8C_239/2020 du 19 avril 2021 consid. 8.2).</w:t>
      </w:r>
    </w:p>
    <w:p>
      <w:r>
        <w:rPr>
          <w:b/>
        </w:rPr>
        <w:t>E. 8.1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w:t>
      </w:r>
    </w:p>
    <w:p>
      <w:r>
        <w:rPr>
          <w:b/>
        </w:rPr>
        <w:t>E. 8.2</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l’ESS éditée par l'Office fédéral de la statistique (ci-après : OFS) (arrêts du Tribunal fédéral I 201/06 du 14 juillet 2006 consid. 5.2.3 et I 774/01 du 4 septembre 2002). Tel sera le cas lorsqu'on ne dispose d'aucun renseignement</w:t>
      </w:r>
    </w:p>
    <w:p>
      <w:r>
        <w:t>A/3675/2021 - 16/31 -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I 168/05 du 24 avril 2006 consid. 3.3 et B 80/01 du 17 octobre 2003 consid. 5.2.2). Il est toutefois possible de s’écarter du dernier salaire que l’assuré a obtenu avant l’atteinte à la santé quand on ne peut pas l’évaluer sûrement. Ainsi, lorsque le revenu avant l’atteinte à la santé a été soumis à des fluctuations importantes à relativement court terme, il y a lieu de se baser sur le revenu moyen réalisé pendant une période assez longue (arrêt du Tribunal fédéral 8C_157/2023 du 10 août 2023 consid. 3.2 et la référence).</w:t>
      </w:r>
    </w:p>
    <w:p>
      <w:r>
        <w:rPr>
          <w:b/>
        </w:rPr>
        <w:t>E. 8.3</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w:t>
      </w:r>
    </w:p>
    <w:p>
      <w:r>
        <w:t>A/3675/2021 - 17/31 - querellée (ATF 143 V 295 consid. 4 ; arrêt du Tribunal fédéral 8C_655/2016 du 4 août 2017 consid. 6.3).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respectivement T17 (à partir de 2012) si cela permet de fixer plus précisément le revenu d'invalide et que le secteur en question est adapté et exigible (ATF 133 V 545 et les références citées ; arrêts du Tribunal fédéral 8C_124/2021 du 2 août 2021 consid. 4.4.1 et 8C_111/2021 du 30 avril 2021 consid. 4.2.1 et les références). Dans un arrêt de principe, le Tribunal fédéral a estimé qu’il n’existe pas de motifs sérieux et objectifs justifiant une modification de sa jurisprudence relative à l’application des ESS dans le cadre de la détermination du degré d’invalidité des assurés (ATF 148 V 174).</w:t>
      </w:r>
    </w:p>
    <w:p>
      <w:r>
        <w:rPr>
          <w:b/>
        </w:rPr>
        <w:t>E. 8.4</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 ATF 126 V 75 consid. 5b/aa-cc).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w:t>
      </w:r>
    </w:p>
    <w:p>
      <w:r>
        <w:t>A/3675/2021 - 18/31 -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123 V 150 consid. 2 et les références ; arrêt du Tribunal fédéral 8C_337/2009 du 18 février 2010 consid. 7.5). Depuis la 10ème édition des ESS (ESS 2012), les emplois sont classés par l'OFS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w:t>
      </w:r>
    </w:p>
    <w:p>
      <w:r>
        <w:rPr>
          <w:b/>
        </w:rPr>
        <w:t>E. 8.5</w:t>
      </w:r>
    </w:p>
    <w:p>
      <w:r>
        <w:t>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w:t>
      </w:r>
    </w:p>
    <w:p>
      <w:r>
        <w:t>A/3675/2021 - 19/31 -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En revanche, il a contesté un abattement dans le cas d’un assuré âgé de 55 ans au motif que ses excellentes qualifications personnelles, professionnelles et académiques constituaient un avantage indéniable en terme de facilité d’intégration sur le marché du travail (arrêt du Tribunal fédéral 9C_375/2019 du 25 septembre 2019 consid. 7.3). Une unilatéralité de fait ou une restriction de la main dominante peut justifier un abattement compris entre 20% et 25% (arrêts du Tribunal fédéral 9C_363/2017 du 22 juin 2018 consid. 4.3 et 9C_396/2014 du 15 avril 2015 consid. 5.2). Une réduction au titre du handicap dépend de la nature des limitations fonctionnelles présentées et n'entre en considération que si, sur un marché du travail équilibré, il n'y a plus un éventail suffisamment large d'activités accessibles à l'assuré (arrêt du Tribunal fédéral C_280/2022 du 1er mars 2023 consid. 7.2.3 et les références). Les limitations fonctionnelles justifiant une diminution de rendement déjà prises en compte dans l'évaluation de la capacité de travail n'ont pas à être retenues une seconde fois lors de la détermination de l'abattement (arrêt du Tribunal fédéral 9C_778/2020 du 27 août 2021 consid. 6 et la référence). La prise en compte d'un abattement en raison des années de service ne se justifie guère dans le cadre du choix du niveau de compétences 1, l'influence de la durée de service sur le salaire étant peu importante dans cette catégorie d'emplois qui ne nécessitent ni formation ni expérience professionnelle spécifique ni par ailleurs une bonne maitrise d'une langue nationale (arrêt du Tribunal fédéral C_280/2022 du 1er mars 2023 consid. 7.2.4 et les références).</w:t>
      </w:r>
    </w:p>
    <w:p>
      <w:r>
        <w:rPr>
          <w:b/>
        </w:rPr>
        <w:t>E. 8.6</w:t>
      </w:r>
    </w:p>
    <w:p>
      <w:r>
        <w:t>Cependant,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w:t>
      </w:r>
    </w:p>
    <w:p>
      <w:r>
        <w:t>A/3675/2021 - 20/31 - (ATF 134 V 322 consid. 4.1 et les références). Le revenu effectivement réalisé doit être considéré comme nettement inférieur aux salaires habituels de la branche lorsqu'il est inférieur d'au moins 5% au salaire statistique usuel dans la branche (ATF 135 V 297 consid. 6.1.2 ; arrêt du Tribunal fédéral 8C_677/2021 du 31 janvier 2022 consid. 4.2.2).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 arrêt du Tribunal fédéral 9C_692/2010 du 31 janvier 2011 consid. 3.4). Toutefois, lorsque le salaire effectivement réalisé correspond au minimum prévu par une convention collective de travail (CCT), il ne peut pas être qualifié d'inférieur à la moyenne. Dans un tel cas, il n'y a pas lieu d’appliquer la règle du parallélisme des revenus (arrêt du Tribunal fédéral 8C_677/2021 du 31 janvier 2022 consid. 4.2.2 et les références).</w:t>
      </w:r>
    </w:p>
    <w:p>
      <w:r>
        <w:t>Le salaire fondé sur les ESS doit encore être adapté à l’horaire de travail usuel de la branche, et indexé à l’année déterminante en tenant compte des valeurs spécifiques au sexe (ATF 129 V 408).</w:t>
      </w:r>
    </w:p>
    <w:p>
      <w:r>
        <w:rPr>
          <w:b/>
        </w:rPr>
        <w:t>E. 8.7</w:t>
      </w:r>
    </w:p>
    <w:p>
      <w:r>
        <w:t>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 RCC 1989 p. 328 ; arrêts du Tribunal fédéral 9C_286/2015</w:t>
      </w:r>
    </w:p>
    <w:p>
      <w:r>
        <w:t>A/3675/2021 - 21/31 -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w:t>
      </w:r>
    </w:p>
    <w:p>
      <w:r>
        <w:rPr>
          <w:b/>
        </w:rPr>
        <w:t>E. 8.8</w:t>
      </w:r>
    </w:p>
    <w:p>
      <w:r>
        <w:t>Selon la jurisprudence, il est possible de fixer la perte de gain d'un assuré directement sur la base de son incapacité de travail en faisant une comparaison en pour-cent. Cette méthode constitue une variante admissible de la comparaison des revenus basée sur des données statistiques : le revenu hypothétique réalisable sans invalidité équivaut alors à 100%, tandis que le revenu d'invalide est estimé à un pourcentage plus bas, la différence en pour-cent entre les deux valeurs exprimant le taux d'invalidité. L'application de cette méthode se justifie lorsque le salaire sans invalidité et celui avec invalidité sont fixés sur la base des mêmes données statistiques, lorsque les salaires avant et/ou après invalidité ne peuvent pas être déterminés, lorsque l'activité exercée précédemment est encore possible (en raison par exemple du contrat de travail qui n'a pas été résilié), ou encore lorsque cette activité offre de meilleures possibilités de réintégration professionnelle, en raison, par exemple, d'un salaire sans invalidité supérieur à celui avec invalidité (arrêt du Tribunal fédéral 9C_237/2016 du 24 août 2016 consid. 2.2 et les références). Une simple comparaison de pourcentage peut suffire lorsque l’assuré dispose d’une capacité résiduelle de travail dans son activité habituelle et qu’aucune autre activité n’est mieux adaptée à ses limitations fonctionnelles. Le taux d’invalidité est alors identique au taux d’incapacité de travail (cf. ATF 114 V 310 consid. 3a ; arrêt du Tribunal fédéral 9C_562/2022 du 12 septembre 2023 consid. 6 et les références). Lorsque les revenus avec et sans invalidité sont basés sur la même tabelle statistique, il n'est pas nécessaire de les chiffrer précisément, dans la mesure où le taux d'invalidité se confond avec le taux d'incapacité de travail.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w:t>
      </w:r>
    </w:p>
    <w:p>
      <w:r>
        <w:t>A/3675/2021 - 22/31 - professionnelles du cas particulier (arrêt du Tribunal fédéral 9C_842/2018 du 7 mars 2019 consid. 5.1 et les références). En cas de baisse de rendement, l'abattement doit être appliqué à la part du salaire statistique que l’assuré est toujours susceptible de réaliser malgré sa baisse de rendement et ne saurait en aucun cas être additionné au taux de la diminution de rendement, puis il convient de déduire le résultat obtenu de ladite part salariale. La différence obtenue correspond à la perte de gain effective et donne le taux d'invalidité (arrêt du Tribunal fédéral 9C_692/2017 du 12 mars 2018 consid. 5).</w:t>
      </w:r>
    </w:p>
    <w:p>
      <w:r>
        <w:rPr>
          <w:b/>
        </w:rPr>
        <w:t>E. 8.9</w:t>
      </w:r>
    </w:p>
    <w:p>
      <w:r>
        <w:t>Selon la jurisprudence, le résultat exact du calcul du degré d’invalidité doit être arrondi au chiffre en pour cent supérieur ou inférieur selon les règles applicables en mathématiques. En cas de résultat jusqu'à x,49%, il faut arrondir à x% et pour des valeurs à partir de x,50%, il faut arrondir à x+1% (ATF 130 V 121 consid. 3.2).</w:t>
      </w:r>
    </w:p>
    <w:p>
      <w:r>
        <w:rPr>
          <w:b/>
        </w:rPr>
        <w:t>E. 9</w:t>
      </w:r>
    </w:p>
    <w:p>
      <w:r>
        <w:t>Aux termes de l’art. 88a al. 1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Aux termes de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w:t>
      </w:r>
    </w:p>
    <w:p>
      <w:r>
        <w:rPr>
          <w:b/>
        </w:rPr>
        <w:t>E. 10.1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10.2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w:t>
      </w:r>
    </w:p>
    <w:p>
      <w:r>
        <w:t>A/3675/2021 - 23/31 -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10.3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w:t>
      </w:r>
    </w:p>
    <w:p>
      <w:r>
        <w:rPr>
          <w:b/>
        </w:rPr>
        <w:t>E. 11</w:t>
      </w:r>
    </w:p>
    <w:p>
      <w:r>
        <w:t>En l’espèce, le recourant considère qu’il a droit à des mesures de réadaptation ainsi qu’à des indemnités journalières, à compter du 31 juillet 2018. Il conteste la quotité, ainsi que le mode de calcul du revenu avec invalidité effectué par l’OAI. Il allègue que, dès lors que sa situation médicale n’est pas stabilisée, la décision querellée est prématurée et considère que l’expertise judiciaire a mis en évidence des diagnostics et des limitations fonctionnelles qui y sont liées et qui n’étaient pas connues au moment de la prise de la décision querellée par l’intimé. L’OAI, de son côté, se fonde sur les rapports médicaux des Drs F______, G______ et I______ pour conclure que dans une activité adaptée aux limitations fonctionnelles d’épargne des genoux, la capacité de travail est pleine depuis le 9 février 2018. S’agissant de la fixation du revenu avec invalidité, l’OAI estime que les revenus de l’assuré dans le cadre de son activité indépendante n’ont jamais été très conséquents, raison pour laquelle le salaire sans invalidité se fonde sur les ESS. Enfin, l’intimé considère, sur la base du préavis de son SMR du 9 octobre 2023, complétant son préavis du 23 avril 2020, avoir tenu compte de toutes les atteintes décrites dans l’expertise, au niveau des deux genoux, et avoir retenu des limitations fonctionnelles et une capacité de travail en accord avec les conclusions de l’expertise.</w:t>
      </w:r>
    </w:p>
    <w:p>
      <w:r>
        <w:t>A/3675/2021 - 24/31 -</w:t>
      </w:r>
    </w:p>
    <w:p>
      <w:r>
        <w:rPr>
          <w:b/>
        </w:rPr>
        <w:t>E. 11.1</w:t>
      </w:r>
    </w:p>
    <w:p>
      <w:r>
        <w:t>À titre préalable, il convient de rappeler que les offices AI n'ont pas à attendre l'issue des mesures thérapeutiques, ni la stabilisation du cas, mais sont tenus d'évaluer la capacité de gain des assurés bien avant (arrêt du Tribunal fédéral 8C_239/2020 du 19 avril 2021 consid. 8.2). Partant, l’argument du recourant selon lequel l’intimé devait attendre la stabilisation du cas avant de rendre une décision doit être écarté.</w:t>
      </w:r>
    </w:p>
    <w:p>
      <w:r>
        <w:rPr>
          <w:b/>
        </w:rPr>
        <w:t>E. 11.2</w:t>
      </w:r>
    </w:p>
    <w:p>
      <w:r>
        <w:t>S’agissant de l’expertise du 3 juillet 2023 (ci-après : expertise), les lésions en lien de causalité naturelle avec l’événement du 12 août 2018 sont guéries avec persistance d’une légère instabilité. Le statu quo sine a probablement été atteint, selon les co-experts, le 14 juin 2018, lors de la fin du traitement confirmée par le Dr F______ (expertise, p. 15 in fine). Le rapport des co-experts K______ et L______ correspond en tous points aux exigences en la matière. Il a été établi en parfaite connaissance du dossier médical. Il contient en outre une anamnèse personnelle courte, mais une anamnèse professionnelle et médicale très fouillée et les co-experts ont rapporté les observations cliniques de manière détaillée à la suite d’un examen approfondi dans le service de chirurgie orthopédique de l’Hôpital de Fribourg le 8 mars 2023. Les plaintes de l’expertisé concernant ses douleurs ont été dûment rapportées. Les diagnostics retenus sont soigneusement motivés et les co-experts ont mentionné, avec précision, les diagnostics ayant une incidence sur la capacité de travail. Ils ont expliqué les raisons pour lesquelles ils retenaient des troubles préexistants à l’accident. Ils ont, en outre, exposé de manière convaincante, pour quelles raisons ils se ralliaient aux avis des autres intervenants ou, au contraire, s’en écartaient. Leurs conclusions sont elles aussi claires et motivées. Néanmoins, contrairement à l’examen effectué dans le cadre de prestations dues par un assureur-accidents, lorsqu’il s’agit d’invalidité, il faut prendre en compte l’ensemble des troubles médicaux et non pas uniquement les lésions qui sont en rapport de causalité naturelle et adéquate avec l’accident.</w:t>
      </w:r>
    </w:p>
    <w:p>
      <w:r>
        <w:rPr>
          <w:b/>
        </w:rPr>
        <w:t>E. 11.3</w:t>
      </w:r>
    </w:p>
    <w:p>
      <w:r>
        <w:t>Le recourant allègue que les co-experts ne se sont pas prononcés sur la compatibilité des limitations fonctionnelles avec l’activité habituelle du recourant. Il conclut à ce que cette compatibilité soit réexaminée, au besoin en renvoyant le dossier à l’intimé pour complément d’instruction. L’intimé s’est prononcé sur cette compatibilité en se fondant sur l’avis médical de son SMR du 9 octobre 2023, qui estime avoir tenu compte, dans son rapport du 23 avril 2020, de toutes les atteintes décrites par les co-experts au niveau des deux genoux, et avoir retenu des limitations fonctionnelles une capacité de travail en accord avec les conclusions de l’expertise. L’avis médical du SMR du 23 avril 2020 présente les conclusions des différents médecins.</w:t>
      </w:r>
    </w:p>
    <w:p>
      <w:r>
        <w:t>A/3675/2021 - 25/31 - Il est rappelé que le chirurgien orthopédique, le Dr G______, a effectué une expertise en février 2018, dont la conclusion est que l’assuré a une pleine capacité de travail dans une activité qui respecte les limitations fonctionnelles, à savoir éviter de monter et descendre des escaliers, des pentes à répétition et la marche en terrain irrégulier. Il note également que l’état n’est pas stabilisé mais que l’examen est rassurant car il n’y a pas de perte de mobilité du genou. Le SMR cite également le rapport médical du 5 mars 2018 du Dr F______, qui atteste une capacité de travail pleine dans toutes les activités respectant les limitations fonctionnelles d’épargne du genou gauche, y compris l’ancienne activité de restaurateur, pour autant que les conditions soient adaptées aux limitations fonctionnelles. Il confirme également les conclusions de l’expert G______ par courrier du 26 avril 2018. L’expertise privée réalisée en mai 2019 par le chirurgien H______ à la demande de l’assuré conclut que l’état de santé n’est pas stabilisé mais seulement à cause de la persistance des douleurs, étant précisé que celles-ci portent sur le genou gauche mais sont majorées par une atteinte, par surcharge, du genou droit. Le SMR note que le Dr H______ atteste uniquement d’une capacité de travail nulle dans une activité non adaptée. Dans l’expertise du chirurgien orthopédique I______, datant de juillet 2019, il est noté que l’assuré aurait repris une activité dans la restauration depuis le 1er juillet 2019 et que les atteintes actuelles ne seraient pas liées à l’accident d’août 2017. La conclusion du SMR est que deux ans après l’accident, l’assuré présentait encore des limitations fonctionnelles au niveau des deux genoux, soit pas de station debout et de marche prolongée, pas de marche en terrain instable irrégulier, pas de montée et de descente des escaliers répétées, pas d’échelle ou d’escalier, pas de position accroupie ou à genoux ; le SMR conclut que la capacité de travail est définitivement nulle pour toute activité ne respectant pas ces limitations fonctionnelles, et ceci depuis la date de l’accident, soit le 12 août 2017. Dans une activité adaptée aux limitations fonctionnelles d’épargne des genoux, y compris l’ancienne activité de restaurateur, si les limitations fonctionnelles sont respectées, le SMR considère que la capacité de travailler est pleine depuis le 9 février 2018, qui est la date de l’examen pratiqué par le Dr G______, ajoutant qu’aucune modification de l’état de santé n’a eu lieu depuis lors. Compte tenu de ce qui précède, la chambre de céans constate que l’OAI s’est clairement déterminé sur la compatibilité des limitations fonctionnelles avec l’activité habituelle du recourant. En effet, l’OAI estime que le recourant peut effectuer toute activité adaptée, y compris celle de restaurateur, pour autant que les limitations fonctionnelles susmentionnées soient respectées. À ce titre, la chambre de céans considère que l’activité de restaurateur exercée par le recourant avant son accident, dans un local où il devrait monter et descendre des escaliers, n’est plus compatible avec son état de santé, mais ceci n’est pas dû à</w:t>
      </w:r>
    </w:p>
    <w:p>
      <w:r>
        <w:t>A/3675/2021 - 26/31 - l’activité exercée, mais au local qui était auparavant utilisé pour exercer cette activité et dont la configuration physique n’est pas compatible avec les limitations fonctionnelles du recourant.</w:t>
      </w:r>
    </w:p>
    <w:p>
      <w:r>
        <w:rPr>
          <w:b/>
        </w:rPr>
        <w:t>E. 11.4</w:t>
      </w:r>
    </w:p>
    <w:p>
      <w:r>
        <w:t>Les co-experts retiennent que le statu quo sine a été atteint probablement le 14 juin 2018 (expertise, p. 15) tout en admettant que les kystes méniscaux, préexistants, ont pu augmenter de volume suite à l’accident. En tout état, ils estiment que ces lésions kystales sont « restées stables à la comparaison des IRM du 30 janvier 2018 au 8 avril 2019 » et en concluent qu’au vu du manque d’évolution, le statu quo sine est possible. À l’examen clinique (expertise, p. 11), les deux genoux sont décrits comme secs, avec une bonne mobilité de la rotule. Alors que le genou droit est décrit comme légèrement douloureux, par l’assuré, lors d’une flexion à 20°, le genou gauche est décrit avec une évocation de fortes douleurs par l’assuré, dès 30° de flexion (expertise, p. 11). Les diagnostics avec répercussion sur la capacité de travail sont, pour le genou gauche : un kyste méniscal sur la corne antérieure et postérieure du ménisque interne préexistant à l’accident ; une lésion du ménisque interne, corne postérieure zone 2 par intermédia zone 1, préexistante à l’accident avec possibilité d’acutisation ; une chondropathie de la facette interne grade II à III, préexistante à l’accident et enfin un status post lésions LLI, grade I à II et entorse LCA, consécutif à l’accident. Pour le genou droit, les diagnostics avec répercussion sur la capacité de travail sont : une chondropathie rotulienne de la facette interne grade III à IV, préexistante à l’accident ; une lésion du ménisque interne corne postérieure zone 2, préexistante à l’accident et enfin un kyste de la corne postérieure du ménisque interne ainsi que semi membraneux, préexistante à l’accident. Les co-experts notent ensuite que les lésions du genou gauche subies lors de l’accident sont guéries et que les lésions kystiques du ménisque interne du genou gauche sont restées stables à la comparaison des IRM du 30 janvier 2018 et du 8 avril 2019. Vu le manque d’évolution pendant cette période, les co-experts concluent à ce qu’une interprétation pour un statu quo sine est possible (expertise, p. 17). Comme le souligne le recourant, il est exact que sa capacité de travail n’est examinée par les co-experts qu’au regard des atteintes en rapport de causalité avec l’accident, ce qui ne permet pas d’inclure l’ensemble des atteintes à la santé, notamment celles résultant des kystes préexistants à l’accident (expertise, p.18). Néanmoins, les co-experts partagent l’avis du Dr F______ lorsque ce dernier atteste la disparition de toute symptomatologie au genou gauche en juillet 2018 (expertise, p. 34). Ils admettent la possibilité d’une symptomatologie douloureuse qui « aurait pu avoir encore lieu, permettant tout de même la reprise du travail à 100% comme conclu dans le rapport du 16 juillet 2018 » ; et ceci quand bien même les lésions</w:t>
      </w:r>
    </w:p>
    <w:p>
      <w:r>
        <w:t>A/3675/2021 - 27/31 - kystiques liées aux lésions du ménisque interne montrent une péjoration lors du suivi par IRM entre 2019 et 2022. Il résulte de ce qui précède qu’en dépit de la présence de lésions kystiques liées aux lésions du ménisque interne, les co-experts confirment que cela n’empêche pas la reprise du travail à 100% dans une activité adaptée, dès le 16 juillet 2018. Alors que selon le courrier du 9 décembre 2019, du conseil de l’assuré, il y avait eu une « altercation » entre son mandant et le Dr I______ lors de la consultation, ce qui entrainait que l’avis de ce dernier ne pouvait pas être retenu, les co-experts partagent les diagnostics et les appréciations du Dr I______ (expertise, p. 31 à 35). Partant, la chambre de céans estime qu’il est établi, au degré de la vraisemblance prépondérante, que les lésions causées directement par l’accident au genou gauche étaient guéries et stabilisées en juin 2018. S’agissant des troubles préexistants, soit les kystes méniscaux, il est également établi, au degré de la vraisemblance prépondérante, que ces troubles ont été possiblement aggravés par l’accident, notamment par une prise de volume induisant des douleurs, mais se sont stabilisés, au plus tard, le 8 avril 2019 selon l’IRM réalisée à cette date et comparée à l’IRM du 30 janvier 2018. Même si la stabilisation n’a été définitivement constatée qu’à la lecture de l’IRM du 8 avril 2019, il n’en reste pas moins que, selon le Dr F______, la reprise du travail à 100% était possible dès le 16 juillet 2018, appréciation qui a été confirmée par les co- experts et que partage la chambre de céans. Le recourant, dont il faut rappeler qu’il a la charge de la preuve, ne produit aucune nouvelle pièce médicale qui pourrait rendre vraisemblable que sa capacité de travail dans une activité adaptée à ses limitations fonctionnelles n’était pas entière à partir de juillet 2018, étant rappelé qu’il s’est spontanément remis au travail à 100%, en juin 2018, dans une activité de restauration.</w:t>
      </w:r>
    </w:p>
    <w:p>
      <w:r>
        <w:rPr>
          <w:b/>
        </w:rPr>
        <w:t>E. 12</w:t>
      </w:r>
    </w:p>
    <w:p>
      <w:r>
        <w:t>Dans un deuxième grief, le recourant conteste le calcul effectué par l’OAI pour déterminer le revenu avec et sans invalidité. Selon lui, il fallait retenir, a minima, le gain assuré par l’assureur-accidents, soit CHF 84'000.-, voire extrapoler son revenu sur la base du résultat d’exploitation 2017, au moment de l’accident, soit un revenu annuel de CHF 134'347.- pour douze mois. Dès lors, le degré d’invalidité se montait à près de 60%.</w:t>
      </w:r>
    </w:p>
    <w:p>
      <w:r>
        <w:rPr>
          <w:b/>
        </w:rPr>
        <w:t>E. 12.1</w:t>
      </w:r>
    </w:p>
    <w:p>
      <w:r>
        <w:t>Comme le souligne, à juste titre, l’intimé dans sa réponse du 31 janvier 2022, le gain assuré est une notion applicable en LAA et qui sert de base au calcul du montant proprement dit de la rente. Lorsque, comme dans le cas d’espèce, il s’agit d’un assuré exerçant une activité indépendante, c’est ce dernier qui fixe avec l’assurance-accidents qu’il a choisie, le montant du gain assuré pour son activité indépendante. Il ne s’agit donc pas d’une notion applicable à l’assurance-invalidité, mais d’une notion contractuelle, résultant d’un accord entre le travailleur indépendant et l’assurance-accidents, pour fixer le montant du gain assuré. Partant,</w:t>
      </w:r>
    </w:p>
    <w:p>
      <w:r>
        <w:t>A/3675/2021 - 28/31 - cette notion ne saurait être retenue dans le cadre du calcul du gain sans invalidité au regard de la LAI.</w:t>
      </w:r>
    </w:p>
    <w:p>
      <w:r>
        <w:rPr>
          <w:b/>
        </w:rPr>
        <w:t>E. 12.2</w:t>
      </w:r>
    </w:p>
    <w:p>
      <w:r>
        <w:t>En ce qui concerne l’extrapolation du revenu du résultat d’exploitation 2017, pour fixer le revenu sans invalidité, le recourant ne saurait être suivi. En effet,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Or, dans le cas présent, l’assuré venait de commencer une activité indépendante de restaurateur lorsqu’il a été victime de l’accident en juillet 2017. Il a ensuite cédé les parts de sa société, soit l’exploitation du restaurant, à deux repreneurs, par convention de cession de parts du 9 novembre 2017. Selon l’attestation AVS pour l’année 2017 (pièce 75, dossier OAI) le salaire soumis à cotisations et versé à l’assuré s’est élevé en 2017 à CHF 35’900.65. Selon le rapport d’enquête pour activité professionnelle indépendante du 11 juin 2021 (pièce 84, dossier OAI), l’assuré a débuté son activité de gérant du restaurant « D______ » le 2 août 2016 et il exerçait une activité à raison de 45 heures par semaine à temps plein. L’activité indépendante de gérant du restaurant « D______ » a donc duré moins d’une année, ce qui représente une période beaucoup trop courte pour qu’il soit possible d’établir un revenu moyen issu de l’activité indépendante du recourant. Contrairement à ce qu’affirme ce dernier, on ne saurait extrapoler le chiffre d’affaires réalisé pendant cette courte période (chiffre d’affaires qui n’est, par ailleurs, pas audité), pour fixer le revenu sans invalidité. Le tableau établi dans le cadre du rapport d’enquête pour activité professionnelle indépendante du 11 juin 2021, p. 5, fait apparaître les revenus suivants, selon les montants déclarés à l’AVS jusqu’en 2017 :  pour 2012 : CHF 9'954.- (employeur : la suite 115) ;  pour 2013 : pas de cotisation ;  pour 2014 : CHF 6'448.- (employeur : M______ Bâle) ;  pour 2015 : CHF 6'857.- (même employeur : M______ Bâle) ;  pour 2016 : CHF 7’500.- (employeur : C______ appartenant au recourant et exploitant le restaurant D______) ;  pour 2017 : CHF 35'900.- (même employeur : C______) ;</w:t>
      </w:r>
    </w:p>
    <w:p>
      <w:r>
        <w:t>A/3675/2021 - 29/31 -  pour 2018 : aucun revenu ressortant des cotisations AVS ;  pour la période allant d’août 2019 à juin 2020, une perte de CHF 7'959.- dans l’exploitation du Food Truck pour la société N______ appartenant au recourant.</w:t>
      </w:r>
    </w:p>
    <w:p>
      <w:r>
        <w:rPr>
          <w:b/>
        </w:rPr>
        <w:t>E. 12.3</w:t>
      </w:r>
    </w:p>
    <w:p>
      <w:r>
        <w:t>Selon le Tribunal fédéral, en présence de circonstances particulières, il peut se justifier qu'on s’écarte du revenu tel qu’il résulte des derniers salaires et qu'on recoure aux données statistiques résultant de l’ESS éditée par l'OFS (arrêts du Tribunal fédéral I 201/06 du 14 juillet 2006 consid. 5.2.3 et I 774/01 du 4 septembre 2002). C’est ce qu’a fait l’intimé, en établissant le revenu sans invalidité, sur la base des données statistiques fournies par les ESS 2018, TA1_tirage_skill_level Privé- homme niveau 2. En se fondant sur une durée normale hebdomadaire de travail de 41.7 heures, le salaire statistique annuel sans invalidité a été fixé à CHF 54'218.-. Le choix du tableau (homme, secteur privé, niveau 2) ainsi que le calcul effectué par l’OAI ne prêtent pas le flanc à la critique.</w:t>
      </w:r>
    </w:p>
    <w:p>
      <w:r>
        <w:rPr>
          <w:b/>
        </w:rPr>
        <w:t>E. 12.4</w:t>
      </w:r>
    </w:p>
    <w:p>
      <w:r>
        <w:t>S’agissant du salaire avec invalidité dans une activité adaptée, le choix du tableau et le calcul effectué par l’OAI, soit ESS TA 1_tirage_skill_level et en appliquant l’indexation selon l’ISS pour aboutir à un salaire après indexation sans invalidité de CHF 67'767.-, sont conformes. À cet égard, les critiques du recourant sur le fait que l’OAI ne décrit pas quelle activité serait adaptée à sa situation peuvent être écartées au regard de la jurisprudence du Tribunal fédéral qui considère qu’il faut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w:t>
      </w:r>
    </w:p>
    <w:p>
      <w:r>
        <w:rPr>
          <w:b/>
        </w:rPr>
        <w:t>E. 12.5</w:t>
      </w:r>
    </w:p>
    <w:p>
      <w:r>
        <w:t>Se pose encore la question de savoir si l’activité habituelle du recourant est une activité adaptée. Il ressort des rapports médicaux et des conclusions des experts que l’assuré pourrait continuer à exercer son activité habituelle de restaurateur, pour autant qu’il respecte les limitations fonctionnelles, ce qui serait possible dans un local adapté, soit un local où il n’est pas nécessaire de monter et de descendre des escaliers. Dès lors, le salaire statistique avec invalidité dans l’activité habituelle peut être fondé sur le même tableau qui a été choisi par l’OAI pour calculer le salaire statistique sans invalidité, soit CHF 54'218.-, en appliquant un abattement de 10% correspondant aux limitations fonctionnelles. Dans un tel cas, le taux d’invalidité se confond avec le taux d’abattement, soit 10%.</w:t>
      </w:r>
    </w:p>
    <w:p>
      <w:r>
        <w:t>A/3675/2021 - 30/31 -</w:t>
      </w:r>
    </w:p>
    <w:p>
      <w:r>
        <w:rPr>
          <w:b/>
        </w:rPr>
        <w:t>E. 12.6</w:t>
      </w:r>
    </w:p>
    <w:p>
      <w:r>
        <w:t>Le recourant critique le taux d’abattement retenu par l’OAI, considérant qu’il est trop bas. Il sied de rappeler, au sujet de l’abattement, 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 ATF 126 V 75 consid. 5b/aa-cc).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 En l’état, même si la chambre de céans augmentait le taux d’abattement à 15%, il n’en resterait pas moins que ce dernier, qui correspondrait à un taux d’invalidité de 15%, serait inférieur au seuil de 40%, ce qui ne donne pas droit à une rente d’invalidité. Par ailleurs, dès lors que, d’une part, le taux d’invalidité est inférieur à 20% et que, d’autre part, le recourant pourrait poursuivre son activité habituelle de restaurateur, dans le respect des limitations fonctionnelles, des mesures de réadaptation ne se justifient pas.</w:t>
      </w:r>
    </w:p>
    <w:p>
      <w:r>
        <w:rPr>
          <w:b/>
        </w:rPr>
        <w:t>E. 13</w:t>
      </w:r>
    </w:p>
    <w:p>
      <w:r>
        <w:t>Compte tenu de ce qui précède, la chambre de céans n’a d’autre choix que de rejeter le recours.</w:t>
      </w:r>
    </w:p>
    <w:p>
      <w:r>
        <w:rPr>
          <w:b/>
        </w:rPr>
        <w:t>E. 14</w:t>
      </w:r>
    </w:p>
    <w:p>
      <w:r>
        <w:t>La procédure de recours en matière de contestation portant sur l'octroi ou le refus de prestations de l'assurance-invalidité étant soumise à des frais de justice, un émolument de CHF 200.- sera mis à charge du recourant (art. 69 al. 1 bis LAI).</w:t>
      </w:r>
    </w:p>
    <w:p>
      <w:r>
        <w:t>A/3675/2021 - 31/31 -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