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ATAS/887/2017 vom 28. September 2017</w:t>
      </w:r>
    </w:p>
    <w:p>
      <w:r>
        <w:t>GE Cour de justice, 2017-09-28, FR</w:t>
      </w:r>
    </w:p>
    <w:p>
      <w:r>
        <w:rPr>
          <w:b/>
        </w:rPr>
        <w:t xml:space="preserve">Quelle: </w:t>
      </w:r>
      <w:r>
        <w:t>https://mcp.opencaselaw.ch/entscheid/ge_gerichte_ATAS_887_2017</w:t>
      </w:r>
    </w:p>
    <w:p>
      <w:r>
        <w:t>FR: GE_GERICHTE ATAS/887/2017 du 28 septembre 2017</w:t>
      </w:r>
    </w:p>
    <w:p>
      <w:r>
        <w:t>IT: GE_GERICHTE ATAS/887/2017 del 28 settembre 2017</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Interjeté dans la forme et le délai prévus par la loi, le recours est recevable à la forme, en vertu des art. 56ss LPGA.</w:t>
      </w:r>
    </w:p>
    <w:p>
      <w:r>
        <w:rPr>
          <w:b/>
        </w:rPr>
        <w:t>E. 5</w:t>
      </w:r>
    </w:p>
    <w:p>
      <w:r>
        <w:t>La recourante se contente de contester avoir recouvré une pleine capacité de travail en septembre 2014. C’est le lieu de rappeler qu’a la qualité pour recourir quiconque est touché par la décision et a un intérêt digne d'être protégé à ce qu'elle soit annulée ou modifiée (art. 59 LPGA). Or, en l’occurrence, force est de constater que la recourante ne peut faire valoir aucun intérêt de ce type. En effet, sa position résulte d’une lecture lacunaire de la décision litigieuse : si l’intimé considère effectivement que les suites de l’accident</w:t>
      </w:r>
    </w:p>
    <w:p>
      <w:r>
        <w:t>A/2746/2017 - 4/5 - n’ont plus eu d’influence sur la capacité de travail de l’intéressée au-delà du 31 août 2014, il admet en revanche que les autres atteintes à la santé ont entraîné à elles seules une totale incapacité à compter de juin 2014. C’est d’ailleurs la raison pour laquelle une rente a été octroyée à l’intéressée. Par ailleurs, on rappellera que la motivation d’un recours, pour être considérée comme valable, doit être topique. En conséquence, le recours doit être considéré comme irrecevable vu le défaut de pertinence de sa motivation et celui d’un intérêt digne de protection à agir.</w:t>
      </w:r>
    </w:p>
    <w:p>
      <w:r>
        <w:t>A/2746/2017 - 5/5 -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