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ATAS/887/2016 vom 31. Oktober 2016</w:t>
      </w:r>
    </w:p>
    <w:p>
      <w:r>
        <w:t>GE Cour de justice, 2016-10-31, FR</w:t>
      </w:r>
    </w:p>
    <w:p>
      <w:r>
        <w:rPr>
          <w:b/>
        </w:rPr>
        <w:t xml:space="preserve">Quelle: </w:t>
      </w:r>
      <w:r>
        <w:t>https://mcp.opencaselaw.ch/entscheid/ge_gerichte_ATAS_887_2016</w:t>
      </w:r>
    </w:p>
    <w:p>
      <w:r>
        <w:t>FR: GE_GERICHTE ATAS/887/2016 du 31 octobre 2016</w:t>
      </w:r>
    </w:p>
    <w:p>
      <w:r>
        <w:t>IT: GE_GERICHTE ATAS/887/2016 del 31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 et 62ss LPA).</w:t>
      </w:r>
    </w:p>
    <w:p>
      <w:r>
        <w:rPr>
          <w:b/>
        </w:rPr>
        <w:t>E. 4</w:t>
      </w:r>
    </w:p>
    <w:p>
      <w:r>
        <w:t>Le litige porte sur la question du droit de l'assuré à des prestations de l'assurance- invalidité, singulièrement de savoir si c'est à juste titre que l'OAI a fixé dans la décision entreprise le taux d'invalidité à hauteur de 20% niant ainsi le droit à des prestations de l'assurance-invalidité.</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A/1799/2015 - 14/27 -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A/1799/2015 - 15/27 -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A/1799/2015 - 16/27 -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w:t>
      </w:r>
    </w:p>
    <w:p>
      <w:r>
        <w:t>A/1799/2015 - 17/27 -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w:t>
      </w:r>
    </w:p>
    <w:p>
      <w:r>
        <w:t>A/1799/2015 - 18/27 - n. 10 p. 28 consid. 4b), la jurisprudence rendue sous l’empire de l’art. 4 aCst. étant toujours valable (ATF 124 V 90 consid. 4b; ATF 122 V 157 consid. 1d).</w:t>
      </w:r>
    </w:p>
    <w:p>
      <w:r>
        <w:rPr>
          <w:b/>
        </w:rPr>
        <w:t>E. 11</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12</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t>A/1799/2015 - 19/27 -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w:t>
      </w:r>
    </w:p>
    <w:p>
      <w:r>
        <w:t>A/1799/2015 - 20/27 -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Dans un arrêt rendu récemment, le Tribunal fédéral confirme que l’ESS 2012 est reconnue comme moyen de preuve pour déterminer les revenus à comparer conformément à l’art. 16 LPGA. Ses tableaux sont donc utilisés d’office dans tous les cas de première évaluation de l’invalidité, pour les premières demandes, ainsi que dans les procédures de révision (arrêt 9C_632/2015 du 4 avril 2016, consid. 2.5.7, publication aux ATF prévue). (Lettre circulaire AI no 349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w:t>
      </w:r>
    </w:p>
    <w:p>
      <w:r>
        <w:t>A/1799/2015 - 21/27 -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w:t>
      </w:r>
    </w:p>
    <w:p>
      <w:r>
        <w:t>A/1799/2015 - 22/27 -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13</w:t>
      </w:r>
    </w:p>
    <w:p>
      <w:r>
        <w:t>En l'espèce, le recourant conteste le taux d’invalidité retenu de 20 % et la négation à tout droit à des prestations de I’AI. Il estime que l'état de son état de santé devrait être évalué à dire d'experts dans le cadre d'une expertise bidisciplinaire. En l'occurrence, il n'est pas contesté que le recourant est atteint dans sa santé, notamment par rapport à ses problèmes d'épaule, les médecins traitants et le SMR s'accordant à admettre les uns comme les autres que l'exercice de la profession exercée jusqu'à l'atteinte à la santé n'est plus possible, mais qu'en revanche une autre activité strictement adaptée aux limitations physiques est tout à fait possible. La Dresse E______ va d'ailleurs jusqu'à considérer qu'elle est indispensable. Le Dr C______ n'est pas d'un avis différent : il n'a certes vu l'intéressé qu'à deux reprises, en 2012 et en 2014. Dans son rapport de décembre 2014, ce spécialiste rappelle certes qu'à l'époque il n'avait pas retenu d'indication (chirurgicale), au vu du début d'une omarthrose excentrée et d'une adaptation remarquable. Le patient ne présente généralement pas de douleurs. Il souffre actuellement uniquement lors des activités soutenues. Le bilan radiologique confirme une rupture massive de la coiffe des rotateurs avec rétraction pour le feuillet profond de stade III. Il n'est néanmoins pas d'infiltrations graisseuses contre-indiquant un geste. Il regrette de ne pas avoir été plus agressif avec cette pathologie, il y a deux ans. Il a rediscuté des tenants et aboutissants d'une prise en charge chirurgicale ou d'un traitement conservateur avec le patient. Ce dernier souhaite continuer dans ce sens et a simplement proposé au médecin de revenir le consulter dans deux ans. Il ressort ainsi clairement du dossier et que tant les médecins traitants, généraliste ou spécialiste, que ceux du service médical de l'intimé ont toujours exprimé des avis concordants. Il se prévaut du fait que la Dresse E______ ne l'aurait vu pour ses problèmes d'épaules qu'à trois reprises, soit la première fois en décembre 2011, puis en mai 2014, et enfin en juillet de la même année. Il fait encore valoir que le Dr C______ ne l'aurait examiné qu'à deux reprises, la première fois en janvier 2012, et la seconde en décembre 2014. Une telle argumentation manque singulièrement de pertinence: lorsqu'il a consulté la première, à fin 2011, se plaignant de douleurs chroniques de l'épaule droite, depuis 4 à 5 ans, force est de constater qu'à en croire le relevé des CI pendant cette période, ses douleurs chroniques n'avaient pas eu pour conséquence de l'empêcher de travailler. Certes,</w:t>
      </w:r>
    </w:p>
    <w:p>
      <w:r>
        <w:t>A/1799/2015 - 23/27 - depuis fin 2008 il a essentiellement émargé au chômage, et occasionnellement pu travailler pour des entreprises de travail temporaire, voire auprès d'entreprises où il avait déjà travaillé les années précédentes. Or, la Dresse E______ lui ayant prescrit un traitement antalgique au paracétamol à la demande, elle a constaté que son patient avait demandé lui-même à reprendre le travail, à fin janvier 2012, auprès de l'employeur qui l'avait engagé au début mars 2011. Le traitement prescrit lui avait permis de s'adapter à sa situation, et ainsi de reprendre le travail. Les constatations du Dr C______ en février 2012 vont du reste dans le même sens, ce spécialiste, comme la généraliste, ayant conseillé au patient de prendre, lors des crises douloureuses, de simples antalgiques et d'éviter tout travail prolongé avec les bras au-dessus du niveau de la tête, ceci compte tenu des constatations objectives qu'il avait pu faire, soit à l'examen, soit après avoir procédé à un bilan radiologique conventionnel des deux épaules. Ses constatations ne l'avaient du reste pas conduit à retenir une solution chirurgicale raisonnable à proposer au patient. Il l'aurait sans doute fait si les conditions en étaient réunies. Lorsque, consulté à nouveau par le recourant, un peu moins de 3 ans plus tard, il écrit dans son rapport regretter de ne pas avoir été plus de plus agressif avec la maladie, deux ans plus tôt, remarque à laquelle le recourant semble donner une grande importance. Le spécialiste entendait tout simplement observer que s'il avait insisté auprès du patient, à l'époque, en faveur d'une telle intervention et qu'il l'avait pratiquée, probablement qu'il ne serait pas venu le consulter à nouveau, à fin 2014. Mais à ce moment-là, le spécialiste indique avoir rediscuté avec le patient, des tenants et aboutissants d'une prise en charge chirurgicale ou d'un traitement conservateur. Toutefois c'est le patient lui- même qui a préféré ne rien faire et revenir le consulter à deux ans… Le recourant fait encore valoir que l'intimé n'ait pas interpellé la doctoresse H______, dont le nom apparaît à plusieurs reprises dans le dossier, et notamment comme destinataire du rapport de consultation du Dr C______ du 9 décembre 2014. En réalité, cette démarche n'avait, et n'aurait aucun sens. En effet, la Dresse H______ travaille - où travaillait - dans le même centre que sa collègue la Dresse E______, qui a rapidement succédé à sa collègue, sinon avait d'emblée suivi le patient simultanément, à fin 2011. La Dresse E______ disposait donc d'emblée du dossier médical du recourant ouvert au centre médical de Chêne-Bourg. Le recourant n'ayant, au vu de ce qui précède, apporté aucun élément susceptible de mettre en doute les avis concordants de ses deux médecins traitants, et du SMR, force est de constater, en référence à la jurisprudence rappelée ci-dessus que l'état de santé ne s'est pas aggravé depuis 2012; il n'y a aucune raison de mettre en œuvre une expertise judiciaire, de sorte que les conclusions prises dans ce sens par le recourant seront rejetées.</w:t>
      </w:r>
    </w:p>
    <w:p>
      <w:r>
        <w:rPr>
          <w:b/>
        </w:rPr>
        <w:t>E. 14</w:t>
      </w:r>
    </w:p>
    <w:p>
      <w:r>
        <w:t>Le recourant remet en cause le calcul « de la rente AI » - en réalité le calcul du taux d'invalidité sur la base du calcul et du comparatif des revenus avec et sans invalidité. Il fait ainsi grief à l'intimé de ne pas avoir pris en compte un taux de rendement diminué, soit en l'occurrence en se fondant sur le rapport de fin de stage</w:t>
      </w:r>
    </w:p>
    <w:p>
      <w:r>
        <w:t>A/1799/2015 - 24/27 - d'orientation professionnelle dont il a bénéficié du 22 septembre au 21 décembre 2014, dont il ressort que le rendement du recourant serait évalué à 60 % sur un plein temps. Il en veut pour preuve qu'il ressortirait du rapport de fin de stage que ses capacités physiques se limitent à des tâches simples et répétitives dans le respect de ses limitations fonctionnelles, que le rythme de travail est lent et qu'il a besoin d'être régulièrement stimulé, que des signes d'inconfort ont été observés au niveau de la nuque et des deux épaules, et que sa capacité d'apprentissage se limiterait à des tâches pratiques et simples. La chambre de céans relève à ce sujet que le recourant ne relate pas avec une pleine fidélité le sens qu'il faut donner à ces appréciations, faute de mettre en évidence d'autres remarques dudit rapport, qui viennent singulièrement relativiser la pertinence de son argumentation. Ainsi on remarque dans le détail des différentes périodes prises en compte que les intervenants ont remarqué notamment qu'« hormis des signes d'inconfort se traduisant le plus souvent par des massages de la nuque, des exercices d'extension des bras en avant, en arrière, ou des mouvements de rotation avec la tête suite à son accident de voiture en début de mesure, l'assuré garde durablement les positions assise et debout statique sur la journée ». Le recourant évoque également les problèmes de vue mentionnés dans ce rapport, soit de daltonisme, confondant certaines couleurs primaires et secondaires : dans le détail, le rapport mentionne en effet que « la vision était difficilement exploitable, mais le sens tactile était normal (aucune difficulté pour reconnaître au toucher des matériaux d'aspérités et de granulométries différentes). La vue est limitée, mais il était censé porter des lunettes pour lire, écrire et travailler. Rendu attentif à diverses reprises à l'importance pour lui de porter ses lunettes, il n'en avait pas tenu compte. Dans des tâches de tri et de conditionnement, l'assuré confondait les couleurs primaires et secondaires, principalement le vert avec l'orange et le rouge avec le brun, ce qui a notamment pu poser problème lorsque de tâches de conditionnement de boîtes de crayons ou de façonnage de fils électriques. La chambre de céans relève que cela laisse tout de même l'intéressé accéder à une palette variée d'activités simples et répétitives, pour peu qu'il se donne la peine de porter les lunettes qui lui ont été prescrites. Si, comme il le soutient, les observateurs se sont posés la question de savoir si l'assuré aurait la capacité de tenir le rythme, sur la durée, c'est précisément parce qu'il a évoqué auprès d'eux le fait que son médecin traitant ait évoqué la possibilité d'une intervention chirurgicale ou d'infiltrations aux épaules, ce qui a en effet suggéré aux intervenants que son état de santé n'était pas stabilisé. Mais à cet égard, comme on l'a vu, si le médecin n'a pas arrêté de date pour de telles interventions, c'est précisément parce que le recourant lui-même a préféré en rester là, en proposant spontanément à son médecin de venir le revoir dans deux ans. D'autres aspects de ce rapport viennent mettre en évidence les causes non médicales des difficultés de réinsertion professionnelle du recourant : on remarque notamment qu' « en relation duelle, il est centré sur ses douleurs et ses limitations. Il essaye de nous dire que nous sommes gentils et nous sentons qu'il tente de nous amadouer. ». Il a montré</w:t>
      </w:r>
    </w:p>
    <w:p>
      <w:r>
        <w:t>A/1799/2015 - 25/27 - peu d'intérêt pour la mesure qui lui a été octroyée, il s'est moyennement impliqué dans les activités d'orientation durant des animations. Par rapport à l'image de soi, les référents observent que l'assuré explique vouloir retrouver une activité professionnelle adaptée, qu'il s'est donné les moyens de donner des idées d'activités et d'effectuer des démarches (il a postulé pour une place de stage dans deux EMS, sans succès faute de places disponibles, et il s'est renseigné par rapport à une activité de patrouilleur scolaire, mais il a écarté cette possibilité, car cela n'est pas assez payé, et que ce genre d'emploi, selon lui, est surtout destiné à des personnes qui ont une rente et qui cherchent un salaire complémentaire). Mais en définitive, les observateurs ne sentent pas que le recourant se projette à long terme dans une nouvelle situation. En cours de stage, les rendements observés ont été de 60 à 70 %, mais ceci pour des raisons indépendantes de l'état de santé, soit en lien avec des problèmes familiaux et le fait qu'il doit se remobiliser. Par surabondance on relèvera encore que tout le raisonnement chiffré par le recourant dans ses écritures du 1er juillet 2015 (p.10) est en plus fondé sur une erreur grossière: ce n’est pas sur un rendement de 60% qu’il élabore ses calculs, mais sur une prétendue « diminution de rendement constatée de 60 % » ! Ce qui revient à considérer que son rendement ne serait que de 40 %… (Selon lui, en effet, le « salaire selon exigibilité et rendement » serait de CHF 26'198.-, soit 40 % de CHF 65 496.-) La suite du calcul n’est guère plus convaincante : le chiffre qu’il retient au titre de « revenu annuel brut raisonnablement exigible avec invalidité (CHF 22’683.-) » est faux, même si l’on voulait suivre le raisonnement du recourant : le montant qu’il a voulu articuler est en réalité probablement celui de CHF. 22’268.30, mais il résulte non pas d’un abattement de 20 % de CHF 26'198.-, mais du 15 % de ce montant ! Ainsi, au vu de ce qui a été dit précédemment au sujet de l'état de santé du recourant et des avis médicaux recueillis au dossier, les médecins s'accordant à reconnaître que s'il n'est plus capable de travailler dans son ancienne profession de maçon, une pleine activité, strictement adaptée aux restrictions physiques qui ont été définies, est tout à fait possible, et même jugé indispensable par son médecin traitant. La diminution de rendement évoquée dans le cadre du stage dont il a bénéficié du 29 septembre au 19 décembre 2014 ne s'explique pas par des raisons médicales. En effet, si les observateurs ont pu supposer que tel était le cas par rapport aux infiltrations voire une intervention chirurgicale évoquées par l'un des médecins de l'assuré, les amenant à déduire que la situation de santé de l'assuré n'était peut-être pas stabilisée, ils ne disposaient pas de tous les éléments d'appréciation sur ce plan, dès lors que la décision appartenait moins au médecin qu'à l'assuré lui-même, qui ne montre guère d'empressement à résoudre son problème, et pour lequel il ne semble voir aucune urgence. A propos du Dr C______, le recourant affirmait devant la chambre de céans qu'il n’arrive jamais à avoir un rendez-vous avec lui, précisant que l’année précédente (en réalité il y a plutôt deux ans), c’était lui qui l’avait déjà envoyé faire des radiographies à</w:t>
      </w:r>
    </w:p>
    <w:p>
      <w:r>
        <w:t>A/1799/2015 - 26/27 - Vésenaz. A part ça, il faisait de la physio dans une piscine à Thônex. Il a toutefois ajouté peu après qu’il n’avait pas reparlé avec le Dr C______ de l’opération qu’il envisageait à deux ans dans son rapport médical du 9 décembre 2014, expliquant son propos par le fait qu'il ne le voit que tous les deux ans, et que le médecin lui avait dit qu'il devait voir comment il se sentait et que s'il avait de nouveau mal, il devait revenir le voir. La situation ainsi décrite montre que rien n'a véritablement changé, tant depuis la première consultation de 2012 que depuis la seconde et dernière consultation avec ce spécialiste, qui relevait dans son rapport du 9 décembre 2014 que le patient ne présente généralement pas de douleurs. Il souffrait actuellement uniquement lors des activités soutenues. Un tel constat n'est guère compatible avec une baisse de rendement dans une activité simple et répétitive respectant les limitations recommandées par les médecins traitants, consistant pour l'essentiel à éviter tout travail prolongé avec les bras au-dessus du niveau de la tête. Il n’y a dès lors aucune raison d’investiguer plus avant sur ce terrain. Il résulte des lors de ce qui précède que la chambre de céans ne retiendra en l’occurrence aucune diminution de rendement, dans le calcul du taux d’invalidité litigieux, de sorte qu’il est inutile de rectifier les calculs erronés du recourant, dès lors qu’ils sont fondés sur des prémisses fausses.</w:t>
      </w:r>
    </w:p>
    <w:p>
      <w:r>
        <w:rPr>
          <w:b/>
        </w:rPr>
        <w:t>E. 15</w:t>
      </w:r>
    </w:p>
    <w:p>
      <w:r>
        <w:t>Enfin le recourant fait grief à l’intimé d’avoir retenu un taux d’abattement lui aussi insuffisant. Il aurait dû atteindre selon lui au minimum 20 %, au lieu de 15%. Il est ressortissant du Kosovo et au bénéfice d’un permis de séjour. Il est âgé de 52 ans. Il est soumis à de nombreuses limitations, qui justifiaient amplement un taux d’abattement supérieur à celui retenu par l’intimé. Au vu des principes de jurisprudence rappelés ci-dessus, la chambre de céans constate que c’est à juste titre que l’intimé n’a pris en compte ni la nationalité ni l’âge du recourant, l’abattement de 15 % retenu ne tenant compte, de façon adéquate, des limitations liées au handicap. Ainsi que le rappelle la jurisprudence citée,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En l’espèce, la chambre de céans n’a aucune raison de s’écarter de l’évaluation de l’intimé dans la décision litigieuse, celle-ci apparaissant adéquate.</w:t>
      </w:r>
    </w:p>
    <w:p>
      <w:r>
        <w:rPr>
          <w:b/>
        </w:rPr>
        <w:t>E. 16</w:t>
      </w:r>
    </w:p>
    <w:p>
      <w:r>
        <w:t>Au vu de ce qui précède, le recours sera rejeté. Etant donné que depuis le 1er juillet 2006, la procédure n'est plus gratuite (art. 69 al. 1bis LAI), il y a lieu de condamner le recourant au paiement d'un émolument de CHF 200.-.</w:t>
      </w:r>
    </w:p>
    <w:p>
      <w:r>
        <w:t>A/1799/2015 - 27/27 -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