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ATAS/887/2015 vom 16. November 2015</w:t>
      </w:r>
    </w:p>
    <w:p>
      <w:r>
        <w:t>GE Cour de justice, 2015-11-16, FR</w:t>
      </w:r>
    </w:p>
    <w:p>
      <w:r>
        <w:rPr>
          <w:b/>
        </w:rPr>
        <w:t xml:space="preserve">Quelle: </w:t>
      </w:r>
      <w:r>
        <w:t>https://mcp.opencaselaw.ch/entscheid/ge_gerichte_ATAS_887_2015</w:t>
      </w:r>
    </w:p>
    <w:p>
      <w:r>
        <w:t>FR: GE_GERICHTE ATAS/887/2015 du 16 novembre 2015</w:t>
      </w:r>
    </w:p>
    <w:p>
      <w:r>
        <w:t>IT: GE_GERICHTE ATAS/887/2015 del 16 novembre 2015</w:t>
      </w:r>
    </w:p>
    <w:p>
      <w:pPr>
        <w:pStyle w:val="Heading2"/>
      </w:pPr>
      <w:r>
        <w:t>Erwägungen</w:t>
      </w:r>
    </w:p>
    <w:p>
      <w:r>
        <w:rPr>
          <w:b/>
        </w:rPr>
        <w:t>E. 1</w:t>
      </w:r>
    </w:p>
    <w:p>
      <w:r>
        <w:t>La compétence de la chambre de céans pour connaître du présent recours ayant déjà été constatée, et la recevabilité du recours ayant été admise dans les arrêts précédents, il n'y sera pas revenu.</w:t>
      </w:r>
    </w:p>
    <w:p>
      <w:r>
        <w:rPr>
          <w:b/>
        </w:rPr>
        <w:t>E. 2</w:t>
      </w:r>
    </w:p>
    <w:p>
      <w:r>
        <w:t>Le litige porte sur la question de savoir si la recourante a droit, comme elle le prétend, à une rente d'invalidité - qu'elle estime fondée sur un taux d'invalidité de 50 % - ou si, au contraire, c'est à juste titre que l'intimé a refusé tout droit à une rente.</w:t>
      </w:r>
    </w:p>
    <w:p>
      <w:r>
        <w:rPr>
          <w:b/>
        </w:rPr>
        <w:t>E. 3</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5</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w:t>
      </w:r>
    </w:p>
    <w:p>
      <w:r>
        <w:t>A/743/2015 - 26/42 -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w:t>
      </w:r>
    </w:p>
    <w:p>
      <w:r>
        <w:rPr>
          <w:b/>
        </w:rPr>
        <w:t>E. 6</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w:t>
      </w:r>
    </w:p>
    <w:p>
      <w:r>
        <w:rPr>
          <w:b/>
        </w:rPr>
        <w:t>E. 7</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w:t>
      </w:r>
    </w:p>
    <w:p>
      <w:r>
        <w:t>A/743/2015 - 27/42 - chacune des activités habituelles conformément au chiffre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b) Pour satisfaire à l'obligation de réduire le dommage (voir ATF 129 V 463 consid. 4.2 et 123 V 233 consid. 3c ainsi que les références), une personne qui</w:t>
      </w:r>
    </w:p>
    <w:p>
      <w:r>
        <w:t>A/743/2015 - 28/42 -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w:t>
      </w:r>
    </w:p>
    <w:p>
      <w:r>
        <w:t>A/743/2015 - 29/42 - l'alcoolisme, la pharmacomanie, la toxicomanie et pour les névroses (RCC 1992 p. 182 consid. 2a et les références; arrêt du Tribunal fédéral des assurances I.237/04 du 30 novembre 2004 consid. 4.2)</w:t>
      </w:r>
    </w:p>
    <w:p>
      <w:r>
        <w:rPr>
          <w:b/>
        </w:rPr>
        <w:t>E. 9</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à l’exception de la fatigue due au cancer (ATF 139 V 346; arrêt du Tribunal fédéral 9C_662/2009 du 17 août 2010 consid. 2.3), à la neurasthénie (arrêt du Tribunal fédéral des assurances I 70/07 du 14 avril 2008 consid. 5), à l'anesthésie dissociative et aux atteintes sensorielles (arrêt du Tribunal fédéral des assurances I 9/07 du 9 février 2007 consid. 4 in SVR 2007 IV n° 45 p. 149) ainsi qu'en matière de troubles moteurs dissociatifs (arrêt du Tribunal fédéral 9C_903/2007 du 30 avril 2008</w:t>
      </w:r>
    </w:p>
    <w:p>
      <w:r>
        <w:t>A/743/2015 - 30/42 - consid. 3.4) et de traumatisme du type « coup du lapin » (ATF 136 V 279 consid. 3.2.3).</w:t>
      </w:r>
    </w:p>
    <w:p>
      <w:r>
        <w:rPr>
          <w:b/>
        </w:rPr>
        <w:t>E. 10</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11</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w:t>
      </w:r>
    </w:p>
    <w:p>
      <w:r>
        <w:t>A/743/2015 - 31/42 -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w:t>
      </w:r>
    </w:p>
    <w:p>
      <w:r>
        <w:t>A/743/2015 - 32/42 -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w:t>
      </w:r>
    </w:p>
    <w:p>
      <w:r>
        <w:t>A/743/2015 - 33/42 -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A/743/2015 - 34/42 -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w:t>
      </w:r>
    </w:p>
    <w:p>
      <w:r>
        <w:t>A/743/2015 - 35/42 -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w:t>
      </w:r>
    </w:p>
    <w:p>
      <w:r>
        <w:t>A/743/2015 - 36/42 -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w:t>
      </w:r>
    </w:p>
    <w:p>
      <w:r>
        <w:t>A/743/2015 - 37/42 - degré et l’ampleur de clarification nécessaire, un complément ponctuel peut dans certaines circonstances suffire (ATF 141 V 281 consid. 8) Lorsqu’une expertise ne répond pas suffisamment aux questions auxquelles il faut répondre, selon la nouvelle jurisprudence en lien avec les troubles somatoformes douloureux, le Tribunal fédéral a expressément laissé la possibilité d’un renvoi à l’administration afin que soient posées les questions complémentaires à l’expert (ATF 141 V 281 consid. 8).</w:t>
      </w:r>
    </w:p>
    <w:p>
      <w:r>
        <w:rPr>
          <w:b/>
        </w:rPr>
        <w:t>E. 15</w:t>
      </w:r>
    </w:p>
    <w:p>
      <w:r>
        <w:t>Au vu des principes rappelés ci-dessus, s'agissant en particulier de déterminer sinon le statut de l'assurée, en tout état pour connaître les empêchements actuels dans son activité de ménagère, l'intimé, suivant les recommandations du SMR dans son rapport du 7 octobre 2014, consécutif à l'expertise multidisciplinaire, a diligenté une enquête ménagère. Dans son courrier du 30 décembre 2014, par lequel la recourante contestait le projet de décision que l'OAI lui avait soumis, l'assurée - se référant à l'enquête économique sur le ménage - faisait valoir qu'elle avait eu un entretien d'une heure environ, qu'elle estimait très court pour juger de ses capacités physiques et morales. Ce qu'elle vit au quotidien est très pénible pour elle, surtout pour ses enfants et son conjoint. Son entourage est mieux placé pour indiquer ce qu'elle leur fait subir. Depuis son accident elle avait perdu toute confiance en elle et à cela s'ajoutait encore des crises d'angoisse. Dans son recours, du 17 février 2015, elle allègue qu'elle est toujours incapable d'assumer non seulement une activité professionnelle, mais également la prise en charge de ses obligations familiales à l'égard de ses enfants. Dans la mesure où elle remet en cause, implicitement en tout cas, le rapport d'enquête ménagère et ses conclusions, il y a tout d'abord lieu d'examiner si ce dernier a été établi correctement, et si en particulier on peut lui accorder une pleine valeur probante. La chambre de céans constate que cette enquête a été effectuée par une personne qualifiée, en présence de l'assurée et de l'une de ses voisines qui la connaît bien, pour l'aider au quotidien. Par les constatations qu'elle a faites sur place, l'enquêtrice a montré dans son rapport qu'elle avait pris en compte la situation locale et spatiale, ainsi que des empêchements et des handicaps résultant des diagnostics médicaux. Elle a également recueilli consciencieusement les indications de l'assurée et a consigné dans son rapport les explications subjectives de l'assurée, s'agissant de sa manière de ressentir la contribution de son époux aux tâches ménagères, contrastant avec les indications objectives qu'elle avait pu tirer des questions plus factuelles permettant de déterminer de façon concrète l'importance de l'aide apportée par le mari dans les tâches ménagères. Ce rapport apparaît plausible, il est motivé et rédigé de manière suffisamment détaillée par rapport aux différentes limitations, et correspond aux indications relevées sur place. Il a dès leur pleine valeur probante, répondant aux exigences de la jurisprudence rappelée ci-dessus.</w:t>
      </w:r>
    </w:p>
    <w:p>
      <w:r>
        <w:t>A/743/2015 - 38/42 - Ceci dit, le statut mixte retenu par l'intimé à raison de 50 % pour la part active et 50 % pour les travaux habituels est justifié, et n'est d'ailleurs pas remis en cause par la recourante.</w:t>
      </w:r>
    </w:p>
    <w:p>
      <w:r>
        <w:rPr>
          <w:b/>
        </w:rPr>
        <w:t>E. 16</w:t>
      </w:r>
    </w:p>
    <w:p>
      <w:r>
        <w:t>En second lieu, la décision entreprise reposant essentiellement sur le rapport d'expertise pluridisciplinaire de la PMU du 22 juillet 2014, il y a lieu d'examiner si, au vu des principes de jurisprudence en matière de force probante, rappelée ci- dessus, ce rapport peut se voir reconnaître une pleine valeur probante ; mais également eu égard aux principes dégagés de la récente jurisprudence du Tribunal fédéral en matière de troubles somatoformes douloureux (ci-après: TSD), si ce rapport répond aux nouvelles exigences respectivement aux principes posés par la Haute cour en la matière. a) En l’espèce, il est constant que ce rapport d'expertise est antérieur à l'arrêt du Tribunal fédéral du 3 juin 2015 (ATF 141 V 281). Le diagnostic de TSD a été posé, dans le cadre de cette expertise pluridisciplinaire, par le Dr I______, psychiatre dans son rapport après consultation spécialisée de psychiatrie du 20 mai 2014 (rapport d'expertise de la PMU du 22 juillet 2014 p.10), par le Dr J______, neurologue, après sa consultation spécialisée du 2 juin 2014, avec quelques nuances (rapport PMU cité p. 13) ; les psychologues, respectivement expert en neuropsychologie, ont pour leur part décrit certains symptômes, qui sont autant de composantes de ce diagnostic ; et enfin le collège des experts, après leur colloque de synthèse, a posé le diagnostic de TSD sans influence essentielle sur la capacité de travail (rapport PMU cité p. 18), le diagnostic principal, avec influence essentielle sur la capacité de travail étant celui d'épisode dépressif d'intensité moyenne avec troubles neuropsychologiques (F 32.1). Le SMR a considéré, sur la base du rapport d’expertise établi le 22 juillet 2014 par la PMU que le diagnostic de TSD avait été posé, mais n'était pas incapacitant, d’une part, et que les experts avaient estimé la capacité de travail comme nulle dès le 19 mai 2011, pour des motifs somatiques (vertiges persistants sur atteinte vestibulaire droite) et de 50 % dès le début 2013, pour problèmes psychiatriques. Il a ainsi exclu la présence d’un TSD invalidant. L'OAI a dès lors rejeté la demande. Or, le Tribunal fédéral ayant modifié sa jurisprudence par arrêt du 3 juin 2015, il y a dorénavant lieu d’examiner si les répercussions fonctionnelles de l’atteinte à la santé constatée médicalement sont prouvées de manière définitive et sans contradiction avec une vraisemblance (au moins) prépondérante au moyen des indicateurs standard. Force est de constater que l’expertise de la PMU ne permet pas de répondre avec précision à ces questions.</w:t>
      </w:r>
    </w:p>
    <w:p>
      <w:r>
        <w:rPr>
          <w:b/>
        </w:rPr>
        <w:t>E. 17</w:t>
      </w:r>
    </w:p>
    <w:p>
      <w:r>
        <w:t>Invité à se déterminer, l’OAI a indiqué le 6 août 2015 qu’il n’entendait pas appliquer la nouvelle jurisprudence fédérale à la présente cause, au motif qu’« en matière d’assurances sociales, les règles applicables sont celles en vigueur au moment où les faits juridiquement déterminants se sont produits (ATF 127 V 467 consid. 1). Un changement de jurisprudence n’est un motif ni de révision, ni de</w:t>
      </w:r>
    </w:p>
    <w:p>
      <w:r>
        <w:t>A/743/2015 - 39/42 - reconsidération et ne déploie, en règle ordinaire, des effets que pour l’avenir (ATF 119 V 413 consid. 3a et les références) ». Il est évident qu’une nouvelle jurisprudence ne constitue ni un motif de révision ni un motif de reconsidération. Il va également de soi qu’un changement de jurisprudence ne vaut que pour les cas futurs. Il importe en revanche de souligner qu’il s’applique pour les affaires pendantes devant un tribunal au moment du changement de jurisprudence (ATF 108 V 3). Il n’est alors question ni de révision ni de reconsidération. S’agissant du raisonnement tenu par l’OAI, selon lequel la décision contre laquelle l’assuré a interjeté recours le 17 février 2015, est entrée en force, il y a lieu de relever que ladite décision n’est précisément pas entrée en force, puisqu’elle fait l’objet du présent litige. C’est donc en vain que l’OAI cite expressément un arrêt du Tribunal fédéral à l’appui de son refus de se déterminer quant à la nouvelle jurisprudence (ATF 119 V 410). En effet, dans cet arrêt, le Tribunal fédéral se demande en réalité si le fait qu’une décision soit entrée en force s’oppose à une application de la nouvelle jurisprudence. La décision du 6 février 2015 n’étant en l’espèce pas entrée en force, la modification de jurisprudence à laquelle a procédé le Tribunal fédéral dans son arrêt du 3 juin 2015 ne peut être que prise en considération pour résoudre le présent litige.</w:t>
      </w:r>
    </w:p>
    <w:p>
      <w:r>
        <w:rPr>
          <w:b/>
        </w:rPr>
        <w:t>E. 18</w:t>
      </w:r>
    </w:p>
    <w:p>
      <w:r>
        <w:t>La chambre de céans constate, à la lumière de cette jurisprudence relative aux troubles somatoformes douloureux, que la présente cause est insuffisamment instruite pour lui permettre de trancher. En effet si le diagnostic de TSD a été posé par le Dr I______, psychiatre, ce spécialiste a précisé qu'il retenait ce diagnostic eu égard au syndrome douloureux non entièrement expliqué apparemment par les altérations physiques observées. Le Dr J______, neurologue, pour sa part indique que les sensations vertigineuses décrites par la patiente ont un caractère de sensations vertigineuses sans substrat somatique/d'origine anxio-tensionnelle. Le ralentissement et le manque de moral vont également dans le sens d'un trouble sans substrat somatique. Au terme de son bilan, il aurait tendance à conclure à un tableau de troubles somatoformes, sans substrat somatique, en tous les cas neurologique, clairement identifiable. Il n'en tire toutefois pas de conclusion en termes de diagnostic de TSD. Enfin, le collège des experts, après son colloque de synthèse, a posé le diagnostic de TSD sans influence essentielle sur la capacité de travail. Les experts ont certes expliqué que si le traumatisme cranio-cervical du 19 mai 2011 peut expliquer la survenue des troubles comme les céphalées et des vertiges, avec documentation par ailleurs par le Dr D______ d'une fonction vestibulaire altérée en mars 2012, il existe actuellement une discordance entre l'importance de la symptomatologie et la discrétion de l'événement accidentel, ainsi que les constatations cliniques actuelles qui sont normales d'un point de vue neurologique et ORL. Il remarque en outre que la</w:t>
      </w:r>
    </w:p>
    <w:p>
      <w:r>
        <w:t>A/743/2015 - 40/42 - mauvaise évolution de la symptomatologie, le fait que l'expertisée n'est pas rassurée par la normalité des examens physiques et radiologiques, de même que la résistance au traitement entrepris, évoquent une évolution vers un trouble somatoforme. Si les experts retiennent en définitive le diagnostic de TSD, mais le considèrent comme non incapacitant, on a peine à comprendre les raisons pour lesquelles ils arrivent à une telle conclusion, notamment eu égard au fait qu'ils aboutissent tout de même à la conclusion que la capacité de travail est limitée par des atteintes psychiques, depuis le début 2013. Or, en regard des exigences posées par la nouvelle jurisprudence du Tribunal fédéral, en matière de troubles somatoformes douloureux, qui impose désormais que la capacité de travail réellement exigible soit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On observera ainsi que l'expertise qui, par la force des choses, n'a pas tenu compte de ces exigences nouvelles, ne permet pas de répondre à ces questions de façon satisfaisante. C'est le cas notamment des incidences du trouble dépressif diagnostiqué sur les ressources de l'assurée, notamment sur le plan psychique, pour surmonter ses troubles somatoformes douloureux persistant, mais c'est aussi le cas par rapport à la nouvelle approche selon le complexe de personnalité, au sens de la jurisprudence précitée. Hormis cet aspect, la chambre de céans considère que cette expertise a été établie par des spécialistes reconnus, sur la base d'observations et d'investigations approfondies, ainsi qu'en pleine connaissance du dossier. On notera d'ailleurs que les experts, lorsqu'ils se sont écartés des constatations antérieures des médecins traitants en ont expliqué les raisons. Aucun indice concret ne permet de douter du bien-fondé de leur analyse, laquelle devra toutefois être complétée dans le sens qui précède, pour que l'administration, sinon le juge en cas de recours, puisse apprécier sa pleine valeur probante en toute connaissance de cause. Ceci dit la recourante n'a pas remis en cause et véritablement critiqué les conclusions de cette expertise : elle se réclame même du taux de capacité de travail de 50 % retenu par les experts. De leur côté, les médecins traitants de l'assurée n'ont nullement remis en cause cette expertise, alors même que le Dr C______ en avait expressément sollicité un exemplaire, en novembre 2014, soit avant même que l'intimé n'adresse son projet de décision à l'assurée. Les derniers documents médicaux produits par les Dr C______ et N______ n'apportent au demeurant aucun élément nouveau dont il n'ait pas été tenu compte dans l'expertise. Dans cette mesure, et vu les conclusions qui vont suivre, il n'est pas nécessaire d'entendre ces praticiens, d'autant que le premier</w:t>
      </w:r>
    </w:p>
    <w:p>
      <w:r>
        <w:t>A/743/2015 - 41/42 - nommé, en tout cas, s'est déjà prononcé à plusieurs reprises dans le cadre de l'instruction de ce dossier par l'administration. Ainsi, dans la mesure de ce qui précède au sujet de la qualité qu'il faut reconnaître à cette expertise, la chambre des assurances sociales estime qu'il n'y a pas lieu d'ordonner une nouvelle expertise pluridisciplinaire, mais simplement d'ordonner un complément d'expertise, fondé sur la liste des indicateurs établis par la jurisprudence précitée. Ce complément nécessaire est d'autant plus justifié que les experts sont parvenus à la conclusion que la situation, vu le relativement jeune âge de l'intéressée, devrait être revue dans les dix-huit mois à deux ans environ. Ainsi, dans le cadre de ce complément, les experts pourront d'ores et déjà faire le point de la situation, même si le délai initialement préconisé n'est pas encore tout à fait atteint. On observera d'ailleurs dans ce contexte que le rapport d'enquête ménagère, postérieur à l'expertise pluridisciplinaire n'avait pas été soumis aux experts. Il pourra leur apporter des éléments d'appréciation utiles dans le cadre du complément d'expertise qui leur sera demandé, compte tenu notamment des éléments à prendre en compte, notamment, parmi les indicateurs, les aspects entrant dans le « complexe personnalité », et le complexe « contexte social ». Ceci dit, la chambre de céans observe que ce retour à l'intimé pour complément d'instruction et nouvelle décision dans le sens des considérants, ne présume en rien du résultat du complément d'expertise que l'intimé sollicitera.</w:t>
      </w:r>
    </w:p>
    <w:p>
      <w:r>
        <w:rPr>
          <w:b/>
        </w:rPr>
        <w:t>E. 19</w:t>
      </w:r>
    </w:p>
    <w:p>
      <w:r>
        <w:t>Au vu de ce qui précède, il se justifie d’admettre le recours, d’annuler la décision du 6 février 2015 et de renvoyer la cause à l’OAI pour instruction complémentaire auprès des experts de la policlinique médicale universitaire de Lausanne, au sens des considérants, et pour nouvelle décision.</w:t>
      </w:r>
    </w:p>
    <w:p>
      <w:r>
        <w:rPr>
          <w:b/>
        </w:rPr>
        <w:t>E. 20</w:t>
      </w:r>
    </w:p>
    <w:p>
      <w:r>
        <w:t>La recourante obtenant gain de cause, une indemnité de CHF 1'500.-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A/743/2015 - 42/42 -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