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ATAS/886/2025 vom 17. November 2025</w:t>
      </w:r>
    </w:p>
    <w:p>
      <w:r>
        <w:t>GE Cour de justice, 2025-11-17, FR</w:t>
      </w:r>
    </w:p>
    <w:p>
      <w:r>
        <w:rPr>
          <w:b/>
        </w:rPr>
        <w:t xml:space="preserve">Quelle: </w:t>
      </w:r>
      <w:r>
        <w:t>https://mcp.opencaselaw.ch/entscheid/ge_gerichte_ATAS_886_2025</w:t>
      </w:r>
    </w:p>
    <w:p>
      <w:r>
        <w:t>FR: GE_GERICHTE ATAS/886/2025 du 17 novembre 2025</w:t>
      </w:r>
    </w:p>
    <w:p>
      <w:r>
        <w:t>IT: GE_GERICHTE ATAS/886/2025 del 17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recours porte sur le droit de la recourante à une rente d’invalidité et sur le taux de l’indemnité pour atteinte à l'intégrité.</w:t>
      </w:r>
    </w:p>
    <w:p>
      <w:r>
        <w:rPr>
          <w:b/>
        </w:rPr>
        <w:t>E. 3</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loi prévoit notamment les prestations suivantes en cas d’accident.</w:t>
      </w:r>
    </w:p>
    <w:p>
      <w:r>
        <w:rPr>
          <w:b/>
        </w:rPr>
        <w:t>E. 3.1</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w:t>
      </w:r>
    </w:p>
    <w:p>
      <w:r>
        <w:t>A/2994/2024 - 7/14 -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w:t>
      </w:r>
    </w:p>
    <w:p>
      <w:r>
        <w:rPr>
          <w:b/>
        </w:rPr>
        <w:t>E. 3.2</w:t>
      </w:r>
    </w:p>
    <w:p>
      <w:r>
        <w:t>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Sa fixation dépend uniquement de facteurs médicaux objectifs, valables pour tous les assurés, sans égard à des considérations d’ordre subjectif ou personnel ; l’atteinte à l’intégrité est donc la même pour tous les assurés présentant un status médical identique. Son évaluation incombe avant tout aux médecins, qui doivent d'une part constater objectivement quelles limitations subit l'assuré et d'autre part estimer l’atteinte à l’intégrité en résultant (Jean-Maurice FRÉSARD / Margit MOSER- SZELESS, L'assurance-accidents obligatoire in Schweizerisches Bundesverwaltungsrecht [SBVR], 3e éd. 2016, nn. 311 et 317 ; arrêt du Tribunal fédéral 8C_442/2013 du 4 juillet 2014 consid. 2). Selon l'art. 36 de l'ordonnance</w:t>
      </w:r>
    </w:p>
    <w:p>
      <w:r>
        <w:t>A/2994/2024 - 8/14 -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8C_219/2018 du 5 juillet 2018 consid. 4.2)</w:t>
      </w:r>
    </w:p>
    <w:p>
      <w:r>
        <w:rPr>
          <w:b/>
        </w:rPr>
        <w:t>E. 4</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4.1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(ATF 139 V 28 consid. 3.3.2 ; arrêt du Tribunal fédéral 8C_934/2015 du</w:t>
      </w:r>
    </w:p>
    <w:p>
      <w:r>
        <w:rPr>
          <w:b/>
        </w:rPr>
        <w:t>E. 4.2</w:t>
      </w:r>
    </w:p>
    <w:p>
      <w:r>
        <w:t>Pour déterminer le revenu d'invalide de l'assuré, il faut en l'absence d'un revenu effectivement réalisé se référer aux données salariales, telles qu'elles résultent des ESS (ATF 126 V 75 consid. 3b).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On soulignera en particulier que le caractère mono-manuel de l’activité adaptée ne suffit pas à exclure l’applicabilité du revenu de niveau 1 tiré d’activités simples et répétitives selon l’ESS. En effet,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Le Tribunal fédéral a à plusieurs reprises admis que le revenu d’invalide soit fixé en référence à ce revenu dans le cas d’activités mono-manuelles légères (arrêts du Tribunal fédéral 9C_633/2016 du 28 décembre 2016 consid. 4.3 et 8C_670/2015 du 12 février 2016 consid. 4.3).</w:t>
      </w:r>
    </w:p>
    <w:p>
      <w:r>
        <w:rPr>
          <w:b/>
        </w:rPr>
        <w:t>E. 4.3</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w:t>
      </w:r>
    </w:p>
    <w:p>
      <w:r>
        <w:t>A/2994/2024 - 10/14 - cas particulier constitue une question de droit, tandis que l'étendue de l'abattement justifié dans un cas concret constitue une question typique relevant du pouvoir d'appréciation (ATF 146 V 16 consid. 4.2). 5.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Une expertise médicale établie sur la base d’un dossier peut avoir valeur probante pour autant que celui-ci contienne suffisamment d’appréciations médicales qui, elles, se fondent sur un examen personnel de l’assuré (RAMA 2001 n. U 438 p. 346 consid. 3d). Lorsqu'un cas d'assurance est réglé sans avoir recours à une expertise dans une procédure au sens de l'art. 44 LPGA, l'appréciation des preuves est soumise à des exigences sévères (arrêt du Tribunal fédéral 8C_606/2021 du 5 juillet 2022 consid. 3.2). S'il existe un doute même minime sur la fiabilité et la validité des constatations d'un médecin de l'assurance, il y a lieu de procéder à des investigations complémentaires (ATF 139 V 225 consid. 5.2). 6.</w:t>
      </w:r>
    </w:p>
    <w:p>
      <w:r>
        <w:t>6.1 Dans le cas d’espèce, il n’est pas contesté que le cas de la recourante était stabilisé au plan médical et que l’intimée était ainsi fondée à mettre un terme au versement d’indemnités journalières au 31 mars 2024. En effet, à cette date, les médecins traitants n’envisageaient aucune option thérapeutique susceptible d’apporter une amélioration significative de l’état de santé de la recourante. En</w:t>
      </w:r>
    </w:p>
    <w:p>
      <w:r>
        <w:t>A/2994/2024 - 11/14 - particulier, on ne saurait considérer que l’optimisation du traitement antalgique et les mesures proposées par le Dr D______ font obstacle à la stabilisation de l’état de santé, dès lors qu’il n’est pas question d'amélioration sensible de l'état de santé lorsque la mesure thérapeutique ne fait que soulager momentanément des douleurs occasionnées par un état par ailleurs stationnaire (arrêt du Tribunal fédéral 8C_131/2018 du 25 juillet 2018 consid. 6.3). 6.2 La recourante conteste en revanche le taux de l’indemnité pour atteinte à l'intégrité. Cette indemnité a été évaluée par le Dr E______ en référence à la table n° 1 relative aux atteintes résultant de troubles fonctionnels des membres supérieurs, ce médecin ayant retenu le taux d’indemnisation applicable lorsqu’une épaule est mobile jusqu’à l’horizontale. Ceci correspond à la limitation fonctionnelle décrite par le Dr B______ dans son courrier du 30 septembre 2024. La recourante n’émet en outre aucune critique concrète quant à la fixation de cette indemnité, et ne fait pas état d’éléments objectifs dont le Dr E______ n’aurait pas tenu compte dans son évaluation. Elle se prévaut uniquement du courrier du 5 mars 2024 du Dr B______, lequel relève que le taux de l’indemnité pour atteinte à l'intégrité ne suffit pas à entreprendre une reconversion. Or, comme on l’a vu, l’indemnité pour atteinte à l'intégrité vise à compenser un préjudice moral, et est allouée indépendamment de la capacité de travail et de gain d’un assuré et d’une éventuelle indication à une reconversion professionnelle, comme le démontre le fait que son taux est identique pour tous les assurés, sans égard à la nature de leur emploi. La nécessité d’une reconversion professionnelle n’est ainsi pas pertinente pour fixer l’indemnité pour atteinte à l'intégrité. En l’absence de motif médical susceptible de mettre en doute l’évaluation du Dr E______, la mise en œuvre d’une expertise pour déterminer le taux d’indemnisation n’a pas lieu d’être. Le droit de faire administrer des preuves n'empêche en effet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(arrêt du Tribunal fédéral 2C_605/2018 du 24 octobre 2018 consid. 2.1). 6.3 En ce qui concerne la capacité de travail, tant le médecin d’arrondissement que les médecins traitants s’accordent sur l’inexigibilité de l’activité d’aide- coiffeuse. Leur position diverge en revanche s’agissant de l’étendue des limitations fonctionnelles et du taux auquel une activité adaptée pourrait être exercée. Tant le Dr B______ que le Dr C______ retiennent des charges maximales inférieures à celles admises par le médecin d’arrondissement, le premier admettant un poids maximal de 2 kg et le second de 3 kg. Il faut néanmoins relever que dans son attestation du 23 janvier 2025, le Dr B ______ semble admettre que des charges jusqu’à 5 kg peuvent être manipulées. Pour le surplus, les médecins traitants et le Dr E______ se rejoignent largement sur les caractéristiques d’une activité adaptée.</w:t>
      </w:r>
    </w:p>
    <w:p>
      <w:r>
        <w:t>A/2994/2024 - 12/14 - La chambre de céans observe en ce qui concerne les divergences quant aux charges maximales possibles que cet élément n’a pas une portée déterminante sur le droit à la rente, dès lors que le revenu avec invalidité est fixé sur une valeur statistique recouvrant des activités légères, et que le marché du travail équilibré est réputé comprendre des emplois adaptés à des activités mono-manuelles, et a fortiori des activités correspondant également aux limitations plus restrictives rapportées par les Drs B______ et C______. S’agissant en revanche du taux auquel une activité adaptée est exigible, le Dr E______ a conclu qu’elle était possible à temps complet. Il est vrai qu’aucun des médecins consultés par la recourante ne s’est prononcé sur la capacité de travail dans une activité adaptée, hormis le Dr B______, qui a mentionné une capacité de travail de 50% au plus dans son courrier à l’intimée du 5 mars 2024. À ce sujet, il convient de souligner que le score SANE de 50% mentionné par le Dr C______ ne peut être compris comme une diminution de cet ordre de la capacité de travail, et il s’agit d’ailleurs là d’un instrument d’auto-évaluation par le patient. On peut s’étonner du fait que le Dr B______ n’ait pas évoqué de capacité de travail limitée dans son attestation du 23 janvier 2025 portant sur l’indication de l’activité d’agente hôtelière. Il ne ressort pas non plus du rapport de la mesure Retour Emploi que la recourante n’aurait exercé cette activité qu’à temps partiel. Cela étant, ladite activité a consisté en trois jours de formation seulement, de sorte qu’elle n’est pas suffisamment représentative de la capacité de travail de la recourante dans une activité adaptée. Si l’opinion divergente du Dr B______ sur le taux auquel une activité adaptée et exigible n’est guère motivée – celui-ci préconisant du reste une expertise afin de déterminer cette exigibilité dans son courrier du 2 avril 2025 –, il apparaît cependant que la recourante présente d’importantes douleurs. Le Dr E______ a du reste souligné l’importance d’explorer les options antalgiques possibles. Le médecin d’arrondissement ne s’est toutefois pas prononcé sur l’éventuelle incidence de ces douleurs sur la capacité de travail ou le rendement dans une activité adaptée, fût-ce pour l’exclure, et n’a pas suffisamment étayé ses conclusions sur ce point. Eu égard à la position du chirurgien traitant et au vu de ces éléments, il existe ainsi un doute quant à la capacité de travail totale retenue dans une activité adaptée. L’intimée s’étant fondée sur le seul avis de son médecin-conseil sur ce point, sans solliciter l’appréciation d’un expert externe, des investigations complémentaires s’imposent, conformément à la jurisprudence. Il y a ainsi lieu de renvoyer la cause à l’intimée, à charge pour celle-ci de mettre en œuvre une expertise confiée à un spécialiste en chirurgie orthopédique indépendant. Au vu du caractère purement orthopédique de l’atteinte, il n’est pas nécessaire de mettre en œuvre une expertise pluridisciplinaire comme le requiert la recourante, celle-ci n’ayant d’ailleurs pas précisé quels domaines médicaux cette expertise devrait couvrir.</w:t>
      </w:r>
    </w:p>
    <w:p>
      <w:r>
        <w:t>A/2994/2024 - 13/14 - La décision de l’intimée doit ainsi être annulée en tant qu’elle porte sur le droit à la rente, le taux de l’indemnité pour atteinte à l'intégrité étant en revanche confirmé. Au vu de l’issue du litige, la chambre de céans renoncera à l’audition des médecins traitants et de la recourante, par appréciation anticipée des preuves. 7. Le recours est partiellement admis. La recourante a droit à des dépens, qui seront fixés à CHF 1'500.- (art. 61 let. g LPGA). Pour le surplus, la procédure est gratuite (art. 61 let. fbis LPGA a contrario).</w:t>
      </w:r>
    </w:p>
    <w:p>
      <w:r>
        <w:t>A/2994/2024 - 14/14 - PAR CES MOTIFS, LA CHAMBRE DES ASSURANCES SOCIALES : Statuant À la forme :</w:t>
      </w:r>
    </w:p>
    <w:p>
      <w:r>
        <w:rPr>
          <w:b/>
        </w:rPr>
        <w:t>E. 9</w:t>
      </w:r>
    </w:p>
    <w:p>
      <w:r>
        <w:t>mai 2016 consid. 2.2). En revanche, si la perte de l'emploi est due à des motifs étrangers à l'invalidité, le revenu sans invalidité doit en principe être déterminé sur la base de valeurs moyennes (arrêt du Tribunal fédéral 9C_500/2020 du 1er mars 2021 consid. 4.1). À titre d’exemple, l’établissement du revenu avant invalidité en fonction des valeurs statistiques a été confirmé dans le cas d’un assuré percevant</w:t>
      </w:r>
    </w:p>
    <w:p>
      <w:r>
        <w:t>A/2994/2024 - 9/14 - des indemnités de chômage avant son accident (arrêt du Tribunal fédéral 8C_259/2021 du 23 septembre 2021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