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ATAS/886/2017 vom 28. September 2017</w:t>
      </w:r>
    </w:p>
    <w:p>
      <w:r>
        <w:t>GE Cour de justice, 2017-09-28, FR</w:t>
      </w:r>
    </w:p>
    <w:p>
      <w:r>
        <w:rPr>
          <w:b/>
        </w:rPr>
        <w:t xml:space="preserve">Quelle: </w:t>
      </w:r>
      <w:r>
        <w:t>https://mcp.opencaselaw.ch/entscheid/ge_gerichte_ATAS_886_2017</w:t>
      </w:r>
    </w:p>
    <w:p>
      <w:r>
        <w:t>FR: GE_GERICHTE ATAS/886/2017 du 28 septembre 2017</w:t>
      </w:r>
    </w:p>
    <w:p>
      <w:r>
        <w:t>IT: GE_GERICHTE ATAS/886/2017 del 28 settembre 2017</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A/4297/2016 - 9/14 -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la forme et le délai prévus par la loi, le recours est recevable, en vertu des art. 56 ss LPGA.</w:t>
      </w:r>
    </w:p>
    <w:p>
      <w:r>
        <w:rPr>
          <w:b/>
        </w:rPr>
        <w:t>E. 5</w:t>
      </w:r>
    </w:p>
    <w:p>
      <w:r>
        <w:t>Le litige porte sur la question de savoir si l’état de santé de l’assuré s’est dégradé, depuis la décision initiale du 4 juillet 2008, au point de lui ouvrir droit à des prestations de l’assurance-invalidité.</w:t>
      </w:r>
    </w:p>
    <w:p>
      <w:r>
        <w:rPr>
          <w:b/>
        </w:rPr>
        <w:t>E. 6</w:t>
      </w:r>
    </w:p>
    <w:p>
      <w:r>
        <w:t>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w:t>
      </w:r>
    </w:p>
    <w:p>
      <w:r>
        <w:t>A/4297/2016 - 10/14 -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7</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w:t>
      </w:r>
    </w:p>
    <w:p>
      <w:r>
        <w:rPr>
          <w:b/>
        </w:rPr>
        <w:t>E. 8</w:t>
      </w:r>
    </w:p>
    <w:p>
      <w:r>
        <w:t>Il y a lieu de préciser que selon la jurisprudence, la notion d'invalidité, au sens du droit des assurances sociales, est une notion économique et non médicale; ce sont</w:t>
      </w:r>
    </w:p>
    <w:p>
      <w:r>
        <w:t>A/4297/2016 - 11/14 -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9</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A/4297/2016 - 12/14 -</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11</w:t>
      </w:r>
    </w:p>
    <w:p>
      <w:r>
        <w:t>En l’espèce, l’intimé a jugé bon de s’écarter des conclusions de l’expertise qu’il avait lui-même sollicitée au motif que l’opinion de l’expert ne serait qu’une évaluation différente d’un état de fait similaire à celui qui prévalait lors de la décision initiale, en 2008.</w:t>
      </w:r>
    </w:p>
    <w:p>
      <w:r>
        <w:t>A/4297/2016 - 13/14 - Force est cependant de constater que le rapport du Prof. G______ doit se voir reconnaître pleine valeur probante. En effet, il se fonde sur une anamnèse détaillée, plusieurs entretiens avec le recourant et tient compte des plaintes rapportées par ce dernier. Il a été établi en pleine connaissance du dossier et ses conclusions, dûment motivées, ne laissent pas apparaître de contradictions. On relèvera en premier lieu que si l’intimé a jugé bon de mettre en place une expertise, c’est parce qu’il a admis comme plausible l’aggravation alléguée. Celle- ci a été confirmée par l’expertise puisque le professeur a relaté que le psychiatre traitant avait mentionné des hallucinations visuelles et auditives. Qui plus est, les médecins du recourant ont tout deux fait état d’une augmentation de la violence de leur patient, à tel point que des mesures ont dû être mises en place pour en préserver sa femme et son enfant. Ce sont là autant d’éléments qui n’apparaissaient pas lors de la première évaluation. On ne saurait dès lors soutenir que l’avis du professeur ne serait qu’une évaluation divergente d’une même situation. Le SMR reproche par ailleurs à l’expert d’avoir écarté le diagnostic de trouble de la personnalité sans s’en expliquer. Le professeur a pourtant motivé sa position en expliquant que les réactions d’hostilité et d’opposition dont pouvait faire preuve l’assuré ne reflétaient selon lui que le désarroi de l’intéressé, et n’étaient pas l’expression d’un trouble de la personnalité à proprement parler. Quoi qu’il en soit, le fait d’écarter un diagnostic naguère évoqué par le Dr E______ n’a pas empêché l’expert de conclure à une totale incapacité de travail, qu’il motive par le trouble dépressif récurrent et l’état de stress post-traumatique désormais chronicisé. Peu importe finalement qu’on adopte les termes de « stress post-traumatique » ou de modification durable de la personnalité. Il n’en demeure pas moins que l’expert a constaté que, loin de s’amender, comme l’espérait le Dr E______, le syndrome de stress post-traumatique s’est chronicisé. En se livrant à une discussion des conclusions de l’expert, pourtant convaincantes et motivées, c’est en réalité l’intimé qui cherche à leur substituer sa propre appréciation. Le rapport du Prof. G______ aurait dû le conduire à retenir l’existence d’une aggravation claire depuis 2008, même si les diagnostics sont inchangés, et une totale incapacité de travail, même dans une activité occupationnelle. Au vu de ce qui précède, le recours est admis et la décision du 14 novembre 2016 annulée. Le recourant doit se voir reconnaître le droit à une rente entière d’invalidité à compter du 1er juillet 2013 (art. 29 al. 1 LAI). Le recourant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A/4297/2016 - 14/14 -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