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ATAS/886/2012 vom 3. Juli 2012</w:t>
      </w:r>
    </w:p>
    <w:p>
      <w:r>
        <w:t>GE Cour de justice, 2012-07-03, FR</w:t>
      </w:r>
    </w:p>
    <w:p>
      <w:r>
        <w:rPr>
          <w:b/>
        </w:rPr>
        <w:t xml:space="preserve">Quelle: </w:t>
      </w:r>
      <w:r>
        <w:t>https://mcp.opencaselaw.ch/entscheid/ge_gerichte_ATAS_886_2012</w:t>
      </w:r>
    </w:p>
    <w:p>
      <w:r>
        <w:t>FR: GE_GERICHTE ATAS/886/2012 du 3 juillet 2012</w:t>
      </w:r>
    </w:p>
    <w:p>
      <w:r>
        <w:t>IT: GE_GERICHTE ATAS/886/2012 del 3 luglio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les troubles présentés par la recourante sont en lien de causalité avec l'accident du 19 mai 2010.</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w:t>
      </w:r>
    </w:p>
    <w:p>
      <w:r>
        <w:t>A/953/2012 - 10/15 -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ATF 118 V 289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341 consid. 2b/bb; RAMA 1999 no U 341 p. 408 sv., consid. 3b).</w:t>
      </w:r>
    </w:p>
    <w:p>
      <w:r>
        <w:rPr>
          <w:b/>
        </w:rPr>
        <w:t>E. 6</w:t>
      </w:r>
    </w:p>
    <w:p>
      <w:r>
        <w:t>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(ATFA non publié U 215/05 du 30 janvier 2007, consid. 5.1; SVR 2007 UV n. 23 p. 75, ATFA non publié U 580/06 du 30 novembre 2007, consid. 4.1). b) S'agissant du caractère adéquat du rapport de causalité, en cas d'atteintes à la santé sans preuve de déficit organique consécutives à un traumatisme de type «coup du lapin» à la colonne cervicale, un traumatisme analogue ou un traumatisme cranio-cérébral, la jurisprudence applique, par analogie, les mêmes critères que ceux dégagés à propos des troubles d'ordre psychique (ATF 117 V 359 consid. consid. 5d/bb), c'est-à-dire: - les circonstances concomitantes particulièrement dramatiques ou le caractère particulièrement impressionnant de l’accident ;</w:t>
      </w:r>
    </w:p>
    <w:p>
      <w:r>
        <w:t>A/953/2012 - 11/15 -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cranio-cérébral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c)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ATF 123 V 98 consid. 2a p. 99;</w:t>
      </w:r>
    </w:p>
    <w:p>
      <w:r>
        <w:t>A/953/2012 - 12/15 - arrêt U 249/01 du 30 juillet 2002 [RAMA 2002 n. U 470 p. 531]).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(ATF 134 V 109 consid.; ATFA non publié 8C_262/2008 du 11 février 2009, consid. 3.2).</w:t>
      </w:r>
    </w:p>
    <w:p>
      <w:r>
        <w:rPr>
          <w:b/>
        </w:rPr>
        <w:t>E. 7</w:t>
      </w:r>
    </w:p>
    <w:p>
      <w:r>
        <w:t>Pour déterminer l'existence d'un lien de causalité, il faut que l'existence d'un tel traumatisme de type "coup du lapin" et de ses suites soit dûment attestés par des renseignements médicaux fiables (ATF 119 V 335 consid. 1; ATF 117 V 359 consid. 4b).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 fondé. Le simple fait qu'un médecin est lié à l'assureur par un rapport de travail ne</w:t>
      </w:r>
    </w:p>
    <w:p>
      <w:r>
        <w:t>A/953/2012 - 13/15 - permet pas encore de douter de l'objectivité de son appréciation ni de soupçonner une prévention à l'égard de l'assuré (ATF 125 V 353 consid. 3b/ee).</w:t>
      </w:r>
    </w:p>
    <w:p>
      <w:r>
        <w:rPr>
          <w:b/>
        </w:rPr>
        <w:t>E. 8</w:t>
      </w:r>
    </w:p>
    <w:p>
      <w:r>
        <w:t>À titre liminaire, la Cour de céans relèvera que, contrairement à la demande de la recourante, il n'est pas nécessaire de procéder à l'audition de son médecin traitant, les pièces versées au dossier s'avérant suffisantes pour trancher le présent litige. En ce qui concerne l'existence d'un lien de causalité naturelle, elle doit être admise, le médecin traitant de la recourante ayant attesté, à plusieurs reprises, que sa patiente a ressenti, immédiatement après l'accident dont elle a été victime, de vives douleurs dans la nuque, des nausées, des maux de tête et des vertiges. Il a dès lors lieu de s'interroger sur l'existence d'un lien de causalité adéquate, la causalité naturelle n'étant pas suffisante, à elle seule, pour admettre que l'intimé continue à verser des prestations d'assurance. S'agissant ainsi de la causalité adéquate, compte tenu des circonstances de l'accident du 19 mai 2010 et du fait qu'il y a lieu de ne pas retenir la manière dont l'assuré a ressenti et assumé le choc traumatique (ATF 117 V 359 consid. 6a; 115 V 133 consid. 6), l'accident précité doit être classé dans la catégorie des accidents de gravité moyenne, à la limite de l'accident de peu de gravité. En effet, de simples collisions avec un véhicule à l'arrêt (devant un passage à piétons ou un feu rouge) sont classées, en règle générale, dans la catégorie des accidents de gravité moyenne, à la limite des accidents de peu de gravité (ATF np U 471/2006 du 5 novembre 2007, consid. 5.3; RAMA 2005 U 549 p. 236, U 380/04, 2003 no U 489 p. 357, U 193/01). Pour autant, les circonstances de l'accident ne sauraient être qualifiées de dramatiques ou particulièrement impressionnantes. Il s'est en effet agi d'une collision par l'arrière avec un autre véhicule, alors que la recourante se trouvait dans son automobile à l'arrêt. En ce qui concerne les critères objectifs déterminants, les lésions subies par la recourante (céphalées, nausées, vertiges, fatigabilité et difficultés de concentration) ne sont pas particulièrement graves et le traitement de celles-ci s'est très vite limité à la prise d'antalgiques et à la mise en œuvre de séances de physiothérapie. S'il est vrai que la recourante a consulté de nombreux médecins depuis l'accident du 19 mai 2010, cela ne suffit néanmoins pas à admettre qu'elle ait subi un traitement particulièrement lourd et spécifique. D'autre part, il n'apparaît pas à la lecture du dossier que la recourante aurait été victime d'erreurs dans le traitement médical entraînant une aggravation notable des séquelles de l'accident ou que des difficultés et des complications importantes soient apparues au cours de la guérison. Le critère jurisprudentiel relatif à l'intensité des douleurs n'est pas réalisé non plus. La recourante allègue, certes, des douleurs à la nuque et des maux de tête. Elle expose surtout qu'elle est épuisée en permanence, ce qui l'oblige à passer la majeure partie de son temps libre couchée à se reposer. On ne saurait toutefois déduire de ces éléments que les douleurs subies par l'intéressée revêtent l'intensité exigée par la jurisprudence (ATF 134 V 109 consid. 10.2.4). S'agissant</w:t>
      </w:r>
    </w:p>
    <w:p>
      <w:r>
        <w:t>A/953/2012 - 14/15 - enfin de la durée et de l'importance de l'incapacité de travail de la recourante, il ressort de son dossier qu'elle a rapidement pu reprendre son activité à un taux de 20%. Si elle n'a pas recouvré une pleine capacité de travail aujourd'hui, il n'en demeure pas moins que sa reprise s'est faite de manière évolutive et que ses médecins ont donné un pronostic favorable et estimé qu'elle recouvrerait la totalité de sa capacité de travail, avec le temps. Quoi qu'il en soit, même si l'on devait retenir que le critère du degré et de la durée de l'incapacité de travail était rempli, il s'agirait du seul critère réalisé sur l'ensemble de ceux évoqués par la jurisprudence. Il ne revêt, toutefois, pas une intensité telle qu'il suffise à rendre vraisemblable de manière prépondérante le lien de causalité adéquate, ce d'autant moins que l'accident de mai 2010 se trouve à la limite inférieure des accidents de gravité moyenne.</w:t>
      </w:r>
    </w:p>
    <w:p>
      <w:r>
        <w:rPr>
          <w:b/>
        </w:rPr>
        <w:t>E. 9</w:t>
      </w:r>
    </w:p>
    <w:p>
      <w:r>
        <w:t>Eu égard aux considérations qui précèdent, c’est donc à juste titre que l’intimée a mis un terme à ses prestations faute de lien de causalité adéquate entre l’accident et les troubles allégués par l’assurée. Le recours est donc rejeté.</w:t>
      </w:r>
    </w:p>
    <w:p>
      <w:r>
        <w:rPr>
          <w:b/>
        </w:rPr>
        <w:t>E. 10</w:t>
      </w:r>
    </w:p>
    <w:p>
      <w:r>
        <w:t>La procédure étant gratuite, il n'est pas perçu d'émolument.</w:t>
      </w:r>
    </w:p>
    <w:p>
      <w:r>
        <w:t>A/953/2012 - 15/15 -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