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ATAS/886/2011 vom 27. September 2011</w:t>
      </w:r>
    </w:p>
    <w:p>
      <w:r>
        <w:t>GE Cour de justice, 2011-09-27, FR</w:t>
      </w:r>
    </w:p>
    <w:p>
      <w:r>
        <w:rPr>
          <w:b/>
        </w:rPr>
        <w:t xml:space="preserve">Quelle: </w:t>
      </w:r>
      <w:r>
        <w:t>https://mcp.opencaselaw.ch/entscheid/ge_gerichte_ATAS_886_2011</w:t>
      </w:r>
    </w:p>
    <w:p>
      <w:r>
        <w:t>FR: GE_GERICHTE ATAS/886/2011 du 27 septembre 2011</w:t>
      </w:r>
    </w:p>
    <w:p>
      <w:r>
        <w:t>IT: GE_GERICHTE ATAS/886/2011 del 27 settembre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w:t>
      </w:r>
    </w:p>
    <w:p>
      <w:r>
        <w:t>A/2172/2011 - 6/8 -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30 jours dès sa réception.</w:t>
      </w:r>
    </w:p>
    <w:p>
      <w:r>
        <w:rPr>
          <w:b/>
        </w:rPr>
        <w:t>E. 5</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w:t>
      </w:r>
    </w:p>
    <w:p>
      <w:r>
        <w:t>A/2172/2011 - 7/8 - Confédération [JAAC] 60/1996, consid. 5.4, p. 367 ; ATF 119 II 87 consid. 2a; ATF 112 V 256 consid. 2a). Selon la jurisprudence rendue à propos de l’art. 24 de la loi fédérale du 20 décembre 1968 sur la procédure administrative,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ATFA non publié du 15 juin 2001, C 63/01, consid. 2).</w:t>
      </w:r>
    </w:p>
    <w:p>
      <w:r>
        <w:rPr>
          <w:b/>
        </w:rPr>
        <w:t>E. 6</w:t>
      </w:r>
    </w:p>
    <w:p>
      <w:r>
        <w:t>En l'espèce, une restitution du délai de recours au sens de l'art. 41 al. 1 LPGA ne se justifie pas. En effet, l’on ne peut considérer que la recourante a été empêchée sans sa faute d’agir dans le délai fixé, le fait d'avoir des difficultés à gérer des émotions - légitimes - et le suivi de son administration n'étant pas considéré comme un motif valable de restitution. A défaut de suivi psychologique et d'arrêt de travail, rien ne permet de conclure que l’état de santé psychique de la recourante présentait un caractère de sévérité tel qu’elle était dans l’impossibilité de défendre ses intérêts. Si elle ne parvenait pas à s’occuper correctement de ses affaires administratives, la recourante aurait pu à tout le moins mandater un tiers aux fins de l’assister et de la représenter, ce d'autant plus qu'elle a pris immédiatement connaissance du projet et de la décision et que son compagnon l'a invitée à se faire conseiller et assister par un mandataire professionnellement qualifié. L'argument consistant à prétendre que l'on peut attendre qu'une décision manifestement erronée se corrige d'elle-même, alors même que les voies et délais de recours sont expressément mentionnés, ne résiste pas à l'examen. En l'absence de motif valable de restitution de délai, le recours doit être déclaré irrecevable pour cause de tardiveté.</w:t>
      </w:r>
    </w:p>
    <w:p>
      <w:r>
        <w:rPr>
          <w:b/>
        </w:rPr>
        <w:t>E. 7</w:t>
      </w:r>
    </w:p>
    <w:p>
      <w:r>
        <w:t>Ainsi, le recours est irrecevable. La procédure de recours en matière de contestations portant sur l’octroi ou le refus de prestations de l’AI étant soumise à des frais de justice (art. 69 al. 1bis LAI), un émolument de 200 fr. sera mis à la charge de la recourante.</w:t>
      </w:r>
    </w:p>
    <w:p>
      <w:r>
        <w:t>A/2172/2011 - 8/8 -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