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ATAS/886/2008 vom 14. August 2008</w:t>
      </w:r>
    </w:p>
    <w:p>
      <w:r>
        <w:t>GE Cour de justice, 2008-08-14, FR</w:t>
      </w:r>
    </w:p>
    <w:p>
      <w:r>
        <w:rPr>
          <w:b/>
        </w:rPr>
        <w:t xml:space="preserve">Quelle: </w:t>
      </w:r>
      <w:r>
        <w:t>https://mcp.opencaselaw.ch/entscheid/ge_gerichte_ATAS_886_2008</w:t>
      </w:r>
    </w:p>
    <w:p>
      <w:r>
        <w:t>FR: GE_GERICHTE ATAS/886/2008 du 14 août 2008</w:t>
      </w:r>
    </w:p>
    <w:p>
      <w:r>
        <w:t>IT: GE_GERICHTE ATAS/886/2008 del 14 agosto 2008</w:t>
      </w:r>
    </w:p>
    <w:p>
      <w:pPr>
        <w:pStyle w:val="Heading2"/>
      </w:pPr>
      <w:r>
        <w:t>Erwägungen</w:t>
      </w:r>
    </w:p>
    <w:p>
      <w:r>
        <w:rPr>
          <w:b/>
        </w:rPr>
        <w:t>E. 1</w:t>
      </w:r>
    </w:p>
    <w:p>
      <w:r>
        <w:t>Conformément à l’art. 56V al. 1 let. a ch. 5 de la loi sur l’organisation judiciaire, le Tribunal cantonal des assurances sociales connaît en instance unique des contestations prévues à l’art. 56 de la loi fédérale sur la partie générale du droit des assurances sociales (ci-après LPGA) relatives à la loi fédérale sur l’assurance- accident du 20 mars 1981.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 ATF 129 V 4 consid. 1.2 ; ATF 127 V 467 consid. 1, 126 V 136 consid. 4b et les références). Les règles de procédure quant à elles s’appliquent sans réserve dès le jour de son entrée en vigueur (ATF 117 V 93 consid. 6b, 112 V 360 consid. 4a ; RAMA 1998 KV 37 p. 316 consid. 3b). La LPGA s’applique donc au cas d’espèce.</w:t>
      </w:r>
    </w:p>
    <w:p>
      <w:r>
        <w:rPr>
          <w:b/>
        </w:rPr>
        <w:t>E. 3</w:t>
      </w:r>
    </w:p>
    <w:p>
      <w:r>
        <w:t>L’art. 106 de la loi fédérale sur l’assurance-accidents (ci-après LAA), qui prévoyait en dérogation à l’art. 60 LPGA un délai de recours de trois mois à compter de la décision sur opposition ayant été abrogé par le ch. 111 de l’annexe à la loi du 17 juin 2005 sur le Tribunal administratif fédéral (avec effet au 1er janvier 2007), le délai de recours est de trente jours. La décision du 25 octobre ayant été reçue par la recourante le 26 octobre 2007 au plus tôt, le délai de recours a commencé à courir le lendemain de la réception de sorte que, compte tenu du fait que le terme devait échoir un dimanche, il a été reporté au lundi 26 novembre 2007 conformément à l’art. 38 al. 1 et 3 LPGA. Interjeté dans les forme et délai prévus par la loi (art. 56 ss LPGA), le recours déposé à l’office postal le 26 novembre 2007 est donc recevable, sous réserve de ce qui suit. Le Tribunal fédéral des assurances a eu l’occasion de juger que les conclusions qui s’écartent tant de l’objet du litige que de l’objet de la contestation (ATF 125 V 413) doivent être déclarées irrecevables (cf. p. ex. ATFA non publié du 7 septembre 2007, U 342/06). Cependant,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t>A/4649/2007 - 18/28 - Dans le cas d’espèce, il apparaît que les conclusions de la recourante tendant à ce que l’assureur soit condamné à prendre en charge le traitement de ses douleurs neurogènes au-delà du 31 décembre 2005 n’ont pas fait l’objet de la décision sur opposition du 25 octobre 2007, dès lors que l’assurée ne les avait pas formées à cette occasion (cf. p. 26 de la décision). Ces conclusions faisaient néanmoins implicitement l’objet de la décision querellée du 9 janvier 2006 dans la mesure où cette décision accordait le bénéfice d’une telle prise en charge pendant une année au moins, que l’intimée a d’ailleurs honorée jusqu’au 9 janvier 2007 avant de l’interrompre en s’épargnant la reddition d’une décision formelle. Pour des motifs d’économie de procédure, et compte tenu du fait que l’assureur s’est formellement exprimé à ce sujet dans sa décision du 9 janvier 2006 et implicitement par la suite, il se justifie d’admettre la recevabilité des conclusions de la recourante sur ce point, étant entendu que les prétentions élevées à cet égard du 1er janvier 2006 au 9 janvier 2007 sont, du fait de ce qui vient d’être dit, devenues sans objet.</w:t>
      </w:r>
    </w:p>
    <w:p>
      <w:r>
        <w:rPr>
          <w:b/>
        </w:rPr>
        <w:t>E. 4</w:t>
      </w:r>
    </w:p>
    <w:p>
      <w:r>
        <w:t>Le litige porte donc sur le droit éventuel de la recourante à des indemnités journalières au-delà du 31 décembre 2005, à une rente d'invalidité, à une indemnité pour atteinte à l’intégrité de 15% et à la prise en charge des frais médicaux générés par la ses douleurs neurogènes au-delà du 10 janvier 2007.</w:t>
      </w:r>
    </w:p>
    <w:p>
      <w:r>
        <w:rPr>
          <w:b/>
        </w:rPr>
        <w:t>E. 5</w:t>
      </w:r>
    </w:p>
    <w:p>
      <w:r>
        <w:t>Il convient dans un premier temps d’examiner la valeur probante des expertises médicales versées à la procédure, de manière à pouvoir ensuite examiner s’il existe un lien de causalité naturelle et adéquate entre l’atteinte à la santé qui a perduré après le 31 décembre 2005 et l’accident du 10 juillet 2002.</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A/4649/2007 - 19/28 -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ni les expertises neurologiques des 14 octobre 2004 et 28 août 2007, ni les expertises psychiatriques des 16 avril et 25 mai 2007 ne prêtent le flanc à la critique : elles ont manifestement été réalisées sur la base d’études et d’examens spécialisés variés et complets, les plaintes exprimées par la recourante ayant dûment été prises en compte; les rapports en ont été établis en pleine connaissance du dossier, qui avait à chaque fois été remis par son mandant à l’expert sollicité; la description des interférences médicales a fait chaque fois l’objet d’un commentaire et les conclusions de l’expert sont bien motivées; pour le surplus, les avis ainsi exprimés ne contiennent pas de contradictions, et aucun indice concret ne permet de mettre en cause leur bien-fondé. Tel n’est pas tout à fait le cas du rapport expertise multidisciplinaire du 20 décembre 2005. Force est en effet de constater avec la recourante que certains faits présentés aux experts par l’assureur, tels la date et le taux de la reprise de son activité professionnelle en 2005 ou la durée de la marche à pied qu’elle avait effectuée certains jours de travail, n’étaient pas conformes à la réalité, de sorte que l’on ne saurait exclure la possibilité d’une influence de ces informations erronées sur le diagnostic posé, voire sur les conclusions des experts. De plus, il y a lieu d’observer que le volet psychiatrique de l’expertise n’a pas été traité avec le même soin que les volets neurologique et rhumatologique, en tout cas s’agissant de la question du lien de causalité entre les troubles psychiques diagnostiqués et l’accident, les conséquences potentielles de la lésion nerveuse constatée n’étant pas évaluées. Cela dit, on ne saurait dénier une valeur probante certaine au rapport de ladite expertise dès lors que, mis à part les quelques indices de distorsion qui viennent d’être évoqués, les examens médicaux effectués le 25 août 2005 ont fourni des observations et des renseignements dont l’objectivité n’est pas contestable, l’appréciation des experts ayant en outre été revue et explicitée dans les rapports complémentaires des 26 juin et 10 septembre 2006. Il conviendra par conséquent, en cas de contradiction entre le rapport d’expertise du 20 décembre 2005 et l’un ou</w:t>
      </w:r>
    </w:p>
    <w:p>
      <w:r>
        <w:t>A/4649/2007 - 20/28 - l’autre des rapports ou rapports complémentaires qui viennent d’être évoqués, d’accorder une valeur probante décisive à ces derniers.</w:t>
      </w:r>
    </w:p>
    <w:p>
      <w:r>
        <w:rPr>
          <w:b/>
        </w:rPr>
        <w:t>E. 7</w:t>
      </w:r>
    </w:p>
    <w:p>
      <w:r>
        <w:t>L’assurance-accidents est en principe tenue d’allouer ses prestations en cas d’accident professionnel ou non professionnel (art. 6 al. 1er LAA). Par accident, on entend toute atteinte dommageable, soudaine et involontaire, portée au corps humain par une cause extérieure extraordinaire qui compromet la santé physique, mentale ou psychique ou qui entraîne la mort (art. 4 LPGA ; ATF 129 V 404 consid. 2.1, 122 V 232 consid. 1 et les références citées). Conformément à l’art. 16 LAA, l’assuré totalement ou partiellement incapable de travailler (art. 6 LPGA) à la suite d’un accident a droit à une indemnité journalière (al. 1er). Le droit à l’indemnité s’éteint notamment dès que l’assuré a recouvré sa pleine capacité de travail ou dès qu’une rente est versée (al. 2, 2e phrase). En l’espèce, il n’est ni contesté ni contestable que la chute de la recourante, entraînée par une glissade de son motocycle, la section d’un nerf musculo-cutané au cours d’une intervention chirurgicale et, en l’absence d’une maladie, d’un traumatisme ou d’un autre agent interne identifiés, l’entorse de sa cheville gauche, survenues respectivement les 10 et 18 juillet 2002 et le 20 novembre 2004, sont des événements accidentels au sens de la loi précitée. a) Le droit à des prestations découlant d’un accident assuré suppose d’abord, entre l’événement de caractère accidentel et l’atteinte dommageable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Relevons en outre que si l’on peut admettre qu’un accident n’a fait que déclencher un processus qui serait de toute façon survenu sans cet événement, le lien de</w:t>
      </w:r>
    </w:p>
    <w:p>
      <w:r>
        <w:t>A/4649/2007 - 21/28 -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A contrario, aussi longtemps que le statu quo sine vel ante n’est pas rétabli, l’assureur-accidents doit prendre à sa charge le traitement maladif préexistant, dans la mesure où il a été causé ou aggravé par l’accident. Dans le contexte de la suppression du droit à des prestations, la règle selon laquelle le fardeau de la preuve appartient à la partie qui invoque la suppression du droit (ATFA non publié du 9 septembre 1999, U 355/98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 accidents la preuve négative qu’aucune atteinte à la santé ne subsiste plus ou que la personne assurée est désormais en parfaite santé. Est seul décisif le point de savoir si les causes accidentelles d’une atteinte à la santé ne jouent plus de rôle et doivent ainsi être considérées comme ayant disparu (ATFA non publié du 10 mai 2007, U 172/06 consid. 6 et les références citées).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À cet égard, doctrine et jurisprudence s’accordent à considérer qu’un événement accidentel peut être la cause médiate d’une atteinte à la santé dans la mesure où il provoque un premier dommage qui, souvent en liaison avec une autre cause, conduit à une atteinte supplémentaire ; celle-ci, en tant qu’effet médiat, constitue alors un dommage secondaire. Le Tribunal fédéral des assurances a eu l’occasion de rappeler à plusieurs reprises une jurisprudence non publiée du 20 août 1951, selon laquelle l’assureur-accidents répond des fautes professionnelles commises par les médecins lors du traitement des assurés (cf. ATFA 1967 p. 19, 1961 p. 9) ; les erreurs commises par les médecins, et les suites de celles-ci, constituent l’effet</w:t>
      </w:r>
    </w:p>
    <w:p>
      <w:r>
        <w:t>A/4649/2007 - 22/28 - médiat de l’accident, tandis que celui-ci est la cause médiate de ces erreurs. Il convient par conséquent d’admettre que les règles de la causalité naturelle et adéquate sont également applicables aux dommages secondaires (SCARTAZZINI, Les rapports de causalité dans le droit suisse de la sécurité sociale, Bâle et Francfort-sur-le-Main, 1991, pp. 133 s et 194 s ; cf. ég. MAURER, Schweizerisches Unfallversicherungsrecht, Berne, 1985, pp. 460 ss).</w:t>
      </w:r>
    </w:p>
    <w:p>
      <w:r>
        <w:rPr>
          <w:b/>
        </w:rPr>
        <w:t>E. 8</w:t>
      </w:r>
    </w:p>
    <w:p>
      <w:r>
        <w:t>En l’espèce, il a été établi par le Dr T_________, et plus jamais contesté par les examens médicaux et expertises subséquents (voir notamment le rapport d’expertise du Dr H__________), que le névrome diagnostiqué à la cheville droite de la recourante, consécutif à l’axonotmésis constatée par le Dr N_________ le 20 novembre 2002 résultait de l’intervention chirurgicale pratiquée par le Dr I__________ le 18 juillet 2002, laquelle avait été motivée par l’accident du</w:t>
      </w:r>
    </w:p>
    <w:p>
      <w:r>
        <w:rPr>
          <w:b/>
        </w:rPr>
        <w:t>E. 10</w:t>
      </w:r>
    </w:p>
    <w:p>
      <w:r>
        <w:t>Mal fondé, le recours devra être rejeté.</w:t>
      </w:r>
    </w:p>
    <w:p>
      <w:r>
        <w:t>A/4649/2007 - 27/28 -</w:t>
      </w:r>
    </w:p>
    <w:p>
      <w:r>
        <w:t>A/4649/2007 - 28/28 -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