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ATAS/885/2022 vom 6. Oktober 2022</w:t>
      </w:r>
    </w:p>
    <w:p>
      <w:r>
        <w:t>GE Cour de justice, 2022-10-06, FR</w:t>
      </w:r>
    </w:p>
    <w:p>
      <w:r>
        <w:rPr>
          <w:b/>
        </w:rPr>
        <w:t xml:space="preserve">Quelle: </w:t>
      </w:r>
      <w:r>
        <w:t>https://mcp.opencaselaw.ch/entscheid/ge_gerichte_ATAS_885_2022</w:t>
      </w:r>
    </w:p>
    <w:p>
      <w:r>
        <w:t>FR: GE_GERICHTE ATAS/885/2022 du 6 octobre 2022</w:t>
      </w:r>
    </w:p>
    <w:p>
      <w:r>
        <w:t>IT: GE_GERICHTE ATAS/885/2022 del 6 ottobre 2022</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w:t>
      </w:r>
    </w:p>
    <w:p>
      <w:r>
        <w:t>A/1424/2020 - 6/18 -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Le délai de recours est de trente jours (art. 56 LPGA; art. 62 al. 1 de la loi sur la procédure administrative du 12 septembre 1985 [LPA - E 5 10]). Les délais en jours ou en mois fixés par la loi ou par l'autorité ne courent pas du 7ème jour avant Pâques au 7ème jour après Pâques inclusivement (art. 38 al. 4 let. a LPGA et 89C LPA). En outre, selon l'art. 1 de l'ordonnance sur la suspension des délais dans les procédures civiles et administratives pour assurer le maintien de la justice en lien avec le Coronavirus [COVID-19] du 20 mars 2020 (ci-après : l'ordonnance sur la suspension), entrée en vigueur le 21 mars 2020 (à 00h00),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Interjeté le 28 avril 2020, dans la forme et le délai prévus par la loi – compte tenu de la suspension des délais du 22 mars au 19 avril 2020 –, le recours est recevable (art. 56 et 60 LPGA ; art. 89B LPA ; art. 1 et 2 de l'ordonnance sur la suspension).</w:t>
      </w:r>
    </w:p>
    <w:p>
      <w:r>
        <w:rPr>
          <w:b/>
        </w:rPr>
        <w:t>E. 6</w:t>
      </w:r>
    </w:p>
    <w:p>
      <w:r>
        <w:t>Le litige porte sur le droit de la recourante à des prestations de l'assurance- invalidité, singulièrement sur sa capacité de travail et la valeur probante des conclusions des Drs G______ et H______.</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A/1424/2020 - 7/18 -</w:t>
      </w:r>
    </w:p>
    <w:p>
      <w:r>
        <w:rPr>
          <w:b/>
        </w:rPr>
        <w:t>E. 7.3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7.5</w:t>
      </w:r>
    </w:p>
    <w:p>
      <w:r>
        <w:t>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7.5.1</w:t>
      </w:r>
    </w:p>
    <w:p>
      <w:r>
        <w:t>Selon l’art.88a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w:t>
      </w:r>
    </w:p>
    <w:p>
      <w:r>
        <w:t>A/1424/2020 - 8/18 -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7.5.2</w:t>
      </w:r>
    </w:p>
    <w:p>
      <w:r>
        <w:t>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S’agissant de l’art. 29bis RAI réservé à l’art. 88a al. 2 RAI, il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cité, celle qui a précédé le premier octroi. L’application par analogie de cet article dans le cadre de l’art. 88a al. 2 RAI implique que lorsqu’il y a aggravation de la même atteinte à la santé, celle-ci peut conduire à une rente supérieure avant l’échéance du délai de trois mois (cf. VALTERIO, Commentaire de la loi fédérale sur l’assurance- - invalidité (AI), 2018, n° 37 ad Art. 31 ; MEYER/ REICHMUTH, op. cit., n°26 ad art. 29). Il faut alors que le délai d’une année de l’actuel art. 28 al. 1 let. b LAI pour la rente plus élevée soit déjà écoulé auparavant (arrêt du Tribunal fédéral I 11/00 cité consid. 3, surtout 3d).</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w:t>
      </w:r>
    </w:p>
    <w:p>
      <w:r>
        <w:t>A/1424/2020 - 9/18 -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8.2.1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8.2.2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Ces constats ne libèrent ainsi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t>A/1424/2020 - 10/18 -</w:t>
      </w:r>
    </w:p>
    <w:p>
      <w:r>
        <w:rPr>
          <w:b/>
        </w:rPr>
        <w:t>E. 8.2.3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9.3</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w:t>
      </w:r>
    </w:p>
    <w:p>
      <w:r>
        <w:t>A/1424/2020 - 11/18 -</w:t>
      </w:r>
    </w:p>
    <w:p>
      <w:r>
        <w:rPr>
          <w:b/>
        </w:rPr>
        <w:t>E. 10</w:t>
      </w:r>
    </w:p>
    <w:p>
      <w:r>
        <w:t>En l'espèce, il convient d’examiner si c’est à juste titre que l’OAI a retenu une capacité de travail entière dans une activité adaptée. Se pose dès lors la question de la valeur probante du rapport d’expertise des Drs G______ et H______ du 27 février 2020. Force est de constater que ce rapport répond à la plupart des réquisits jurisprudentiels en matière de valeur probante. Il contient en effet le résumé du dossier, une anamnèse, les indications subjectives de la recourante, des observations cliniques, ainsi qu'une discussion générale du cas. Les conclusions des médecins, qui résultent d'une analyse complète de la situation médicale, sont claires. Sur le fond, les experts ont retenu les diagnostics de polyarthrite rhumatoïde séropositive stabilisée, évoluant depuis juin 2014. Ils ont également mentionné, en précisant qu'ils étaient sans répercussion sur la capacité de travail : des chirurgies multiples (hernie de la ligne blanche para-ombilicale, cholécystectomie en 2011, kyste de gencive en 2014, traitement chirurgical d’une parotidite bilatérale, kyste ovarien opéré) et un épisode dépressif léger. Lors de l’examen, le Dr G______ n’a pas décelé de poussée inflammatoire. Avec la vitesse de sédimentation (VS) du 24 janvier 2020, il y avait un score d'activité de la polyarthrite rhumatoïde (DAS28) à 2,67 et une activité très faible. Il y avait certes une articulation douloureuse, mais cela était lié à la tendinite de l’épaule et de la hanche droites. Il n’y avait pas d’articulation gonflée. Pour l’expert rhumatologue, l’assurée pouvait travailler six heures par jour, ce qui correspondait à une capacité de travail de 100% avec une diminution de rendement de 20%. La recourante devait toutefois éviter le port de charges de plus de 5kg, le travail bras au-dessus de l’horizontale, les stations debout prolongées, les mouvements répétitifs des mains et tout travail de dextérité. Avec une atteinte telle que la polyarthrite rhumatoïde, il n’était pas possible de se prononcer sur l’évolution des incapacités et le pronostic futur était défavorable. Selon la jurisprudence, 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L'expert doit se prononcer sur l'évolution chronologique de la pathologie et apprécier, dans une perspective à long terme, le retentissement global que celle-ci a sur la capacité de travail du recourant (arrêt du Tribunal fédéral 9C_153/2015 du 3 novembre 2015). Or, force est de constater que le Dr G______ n’a pas procédé à cet examen de l’évolution dans le temps de la polyarthrite rhumatoïde, que ce soit pour le passé</w:t>
      </w:r>
    </w:p>
    <w:p>
      <w:r>
        <w:t>A/1424/2020 - 12/18 - ou le futur, mais qu’il a effectué une appréciation ponctuelle de la capacité de travail de la recourante, comme il l’a admis lors de son audition le 10 mars 2022. Cela étant, à cette occasion, il a également renvoyé à la Dresse E______, la rhumatologue traitante de la recourante, pour suivre l’évolution de la capacité de travail, raison pour laquelle la Cour de céans a demandé à la rhumatologue d'établir un récapitulatif de la situation, lequel a été soumis au Dr G______ qui s’y est rallié, répétant une fois encore que la rhumatologue traitante était la mieux à même d'apprécier la capacité de travail de sa patiente et son évolution dans le temps. Le récapitulatif a également été soumis au SMR, qui, le 28 juin 2022, a estimé nécessaire de réaliser une nouvelle expertise bidisciplinaire au vu de l’absence de synovites les mois précédents et compte tenu du diagnostic de trouble douloureux chronique. À cet égard, la Cour de céans rappelle que la légalité de la décision attaquée s’examine au regard des faits existant en mars 2020. Or, à cette date, la question d’un trouble somatoforme douloureux ne se posait pas encore. En effet, ce n’est que le 30 septembre 2021 que la Dresse E______ a évoqué un syndrome douloureux chronique. Par conséquent, par appréciation anticipée des preuves, la Cour de céans renonce à la réalisation d’une expertise bi-disciplinaire portant sur ledit trouble, celui-ci étant postérieur à la décision litigieuse et devant fait l’objet d’une nouvelle décision (cf. arrêt du Tribunal fédéral 4A_206/2007 du 29 octobre 2007 consid. 5.2 non publié aux ATF 133 III 675). Dans la mesure où le SMR ne conteste pas l’appréciation de la capacité de travail retenue par le médecin traitant pour la période antérieure à la décision querellée et que l’expert s’y est rallié, il n’y a pas lieu de s’en écarter. La Cour de céans retient donc que la recourante est incapable d'exercer son activité habituelle. Sa capacité à exercer une activité adaptée a quant à elle été évaluée à 20% entre octobre et décembre 2017, à 0% en mars, avril et juillet et septembre 2018, à 50% en octobre 2018, à 40% en février 2019, à 30% en septembre et novembre 2019 et à 30% en janvier 2020. Dans cette mesure, il y a lieu d’annuler la décision querellée et de reconnaître les capacités de travail partielles dans une activité adaptée évoquées ci-dessus, qui oscillent entre 0% et 50%.</w:t>
      </w:r>
    </w:p>
    <w:p>
      <w:r>
        <w:rPr>
          <w:b/>
        </w:rPr>
        <w:t>E. 11</w:t>
      </w:r>
    </w:p>
    <w:p>
      <w:r>
        <w:t>Reste à examiner le degré d’invalidité au jour de la décision querellée.</w:t>
      </w:r>
    </w:p>
    <w:p>
      <w:r>
        <w:rPr>
          <w:b/>
        </w:rPr>
        <w:t>E. 11.1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w:t>
      </w:r>
    </w:p>
    <w:p>
      <w:r>
        <w:t>A/1424/2020 - 13/18 -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11.2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11.3</w:t>
      </w:r>
    </w:p>
    <w:p>
      <w:r>
        <w:t>Quant au revenu d'invalide, il doit être évalué avant tout en fonction de la situation professionnelle concrète de l'intéressé (ATF 135 V 297 consid. 5.2).</w:t>
      </w:r>
    </w:p>
    <w:p>
      <w:r>
        <w:rPr>
          <w:b/>
        </w:rPr>
        <w:t>E. 11.3.1</w:t>
      </w:r>
    </w:p>
    <w:p>
      <w:r>
        <w:t>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w:t>
      </w:r>
    </w:p>
    <w:p>
      <w:r>
        <w:t>A/1424/2020 - 14/18 -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Les tableaux TA1, T1 et T17 de l'ESS 2020 ont été publiés le 23 août 2022; l’ESS 2018 a été publiée le 21 avril 2020; l’ESS 2016, le 26 octobre 2018 (étant précisé que le tableau T1_tirage_skill_level a été corrigé le 8 novembre 2018) et l’ESS 2014, le 15 avril 2016.</w:t>
      </w:r>
    </w:p>
    <w:p>
      <w:r>
        <w:rPr>
          <w:b/>
        </w:rPr>
        <w:t>E. 11.3.2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4.1ss. et les références). L'étendue de l'abattement justifié dans un cas concret relève du pouvoir d'appréciation (ATF 132 V 393 consid. 3.3). Cette évaluation revient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w:t>
      </w:r>
    </w:p>
    <w:p>
      <w:r>
        <w:t>A/1424/2020 - 15/18 -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11.4</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12.1</w:t>
      </w:r>
    </w:p>
    <w:p>
      <w:r>
        <w:t>En l’espèce, la recourante a saisi l’intimé d’une nouvelle demande en date du 20 février 2017. Conformément à l’art. 29 al. 1 LAI, le droit à la rente prend naissance au plus tôt six mois après le dépôt de la demande, soit le 20 août 2017. Conformément à l’art. 29 al. 3 LAI, la rente est versée dès le 1er août 2017.</w:t>
      </w:r>
    </w:p>
    <w:p>
      <w:r>
        <w:rPr>
          <w:b/>
        </w:rPr>
        <w:t>E. 12.2</w:t>
      </w:r>
    </w:p>
    <w:p>
      <w:r>
        <w:t>Le revenu sans invalidité n’est pas contesté, de sorte que c’est un revenu de CHF 48'000.- qui sera pris en considération à ce titre. Le recours au tableau de l’ESS TA1_skill_level retenu pour déterminer le revenu avec invalidité n’est pas non plus contesté. En revanche, au jour de la décision querellée, les salaires statistiques pour 2016 avaient déjà été publiés, de sorte que c’est un salaire de CHF 4'363.-, soit CHF 52'356.- par année, qui doit être pris en considération (ligne total, pour une femme, avec un niveau de compétence 1). Comme les salaires bruts standardisés tiennent compte d’un horaire de 40 heures par semaine, soit d’une durée hebdomadaire de travail inférieure à la moyenne usuelle dans les entreprises en 2016 (41,7 heures par semaine ; Office fédéral de la statistique - statistique de la durée normale du travail dans les entreprises, DNT), ce montant doit être porté à CHF 54'581.- (CHF 52'356.- x 41.7 / 40) puis à CHF 54'799.- (indexation pour 2017 selon l'évolution des salaires nominaux (+ 0.4% en 2017). Pour le surplus, la recourante n’étant en mesure d’exercer une activité adaptée qu’à temps partiel, il convient de réduire le salaire annuel afin de l’adapter à sa capacité de travail résiduelle, ce qui revient à CHF 10'960.- en octobre et décembre 2017 ainsi que juin et juillet 2018 (20%), CHF 27'400.- en octobre 2018 (50%), CHF 21'920.- en février 2019 (40%) et CHF 16'440.- entre septembre 2019 et juin 2020 (30%). Par ailleurs, s’agissant de l’abattement, on peut admettre que la recourante présente une limitation en lien avec sa polyarthrite rhumatoïde et ses conséquences au niveau des membres supérieurs et son dos, dans la mesure où elle doit éviter de porter des charges de plus de 5kg, travailler au-dessus de l’horizontale, la position debout prolongée, les mouvements répétitifs des mains et tout travail de dextérité. Cela étant, ces limitations quant au spectre des professions demeurant envisageables ne sauraient justifier un abattement excédant 10%, conformément à la jurisprudence rendue par le</w:t>
      </w:r>
    </w:p>
    <w:p>
      <w:r>
        <w:t>A/1424/2020 - 16/18 - Tribunal fédéral dans des causes similaires (cf. David IONTA, Fixation du revenu d’invalide selon l’ESS, in Jusletter du 22 octobre 2018, p. 31 et 32). Pour le reste, la recourante ne démontre pas que d’autres circonstances seraient susceptibles de diminuer concrètement ses perspectives salariales sur un marché du travail équilibré. En effet, selon la jurisprudence récente,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lieu d'effectuer un abattement à ce titre (arrêt du Tribunal fédéral 8C_103/2018 du 25 juillet 2018 consid. 5.1-5.2). Partant, les salaires avec invalidité sont les suivants, après abattement de 10% : CHF 9'864.- entre octobre et décembre 2017 ainsi qu'en juin et juillet 2018 (20%), CHF 24'660.- en octobre 2018 (50%), CHF 19'728.- en février 2019 (40%) et CHF 14'796.- entre septembre 2019 et juin 2020 (30%). Après comparaison des revenus, le degré d’invalidité de la recourante est par conséquent le suivant : - entre octobre et décembre 2017 : invalidité de 79% (CHF 48'000.- - CHF 9'864.- / CHF 48'000.-), pour une capacité de travail de 20% dans une activité adaptée, ce qui correspond à une rente entière. - en mars et avril 2018 : invalidité de 100%, pour une capacité de travail nulle dans une activité adaptée, ce qui correspond à une rente entière. - en juin et juillet 2018 : invalidité de 79% (CHF 48'000.- - CHF 9'864.- / CHF 48'000.-), pour une capacité de travail de 20% dans une activité adaptée, ce qui correspond à une rente entière. - en septembre 2018 : invalidité de 100%, pour une capacité de travail nulle dans une activité adaptée, ce qui correspond à une rente entière. - en octobre 2018 : invalidité de 49% (CHF 48'000.- - CHF 24'660.- / CHF 48'000.-), pour une capacité de travail de 50% dans une activité adaptée, ce qui correspond à un quart de rente. - en février 2019 : invalidité de 59 % (CHF 48'000.- - CHF 19'728.- / CHF 48'000.-), pour une capacité de travail de 40% dans une activité adaptée, ce qui correspond à une demi-rente. - entre septembre 2019 et juin 2020 : invalidité de 69 % (CHF 48'000.- - CHF 14'796.- / CHF 48'000.-) pour une capacité de travail de 30% dans une activité adaptée, ce qui correspond à un trois-quarts de rente. Au vu de ce qui précède, la recourante a droit à une rente entière dès le 1er août 2017. L’amélioration de la capacité de travail constatée en octobre 2018 ayant</w:t>
      </w:r>
    </w:p>
    <w:p>
      <w:r>
        <w:t>A/1424/2020 - 17/18 - duré plus de trois mois, le droit à la rente est réduit à un quart de rente dès le 1er février 2019 (cf. consid. 7.5.2 supra). Cependant, le 28 février 2019 déjà, une diminution de la capacité de travail est attestée, de sorte que dès le 1er mars 2019, la recourante a droit à une demi-rente puis, dès le 1er septembre 2019, à un trois- quarts de rente, étant donné qu’il s’agit de la même atteinte qui s’est péjorée (cf. consid. 7.5.2 supra). La période postérieure au 21 mars 2020 sort du cadre du présent litige. Cela étant, l’intimé dispose de tous les éléments pour adapter la rente à la capacité de travail de la recourante, laquelle a oscillé entre 0% et 20%. Par ailleurs, s’il estime que l’aggravation de l’état de santé de la recourante n’est pas due à la polyarthrite rhumatoïde, mais à un trouble somatoforme douloureux, il appartient à l’intimé de mettre sur pied une nouvelle expertise.</w:t>
      </w:r>
    </w:p>
    <w:p>
      <w:r>
        <w:rPr>
          <w:b/>
        </w:rPr>
        <w:t>E. 13</w:t>
      </w:r>
    </w:p>
    <w:p>
      <w:r>
        <w:t>Au vu de ce qui précède, le recours est admis et la décision du 21 mars 2021 annulée. La recourante est mise au bénéfice d’une rente entière du 1er août 2017 au 31 janvier 2019, d’un quart de rente du 1er au 28 février 2019, d’une demi-rente du 1er mars au 31 août 2019 et d'un trois-quarts de rente dès le 1er septembre 2019. La recourante obtenant gain de cause, une indemnité de CHF 3'000.- lui est accordée à titre de participation à ses frais et dépens (art. 61 let. g LPGA; art. 6 du règlement sur les frais, émoluments et indemnités en matière administrative du 30 juillet 1986 [RFPA - E 5 10.03]). Au vu du sort du recours, il y a par ailleurs lieu de condamner l'intimé au paiement d'un émolument de CHF 200.- (art. 69 al. 1bis LAI).</w:t>
      </w:r>
    </w:p>
    <w:p>
      <w:r>
        <w:t>A/1424/2020 - 18/18 -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