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ATAS/885/2019 vom 27. September 2019</w:t>
      </w:r>
    </w:p>
    <w:p>
      <w:r>
        <w:t>GE Cour de justice, 2019-09-27, FR</w:t>
      </w:r>
    </w:p>
    <w:p>
      <w:r>
        <w:rPr>
          <w:b/>
        </w:rPr>
        <w:t xml:space="preserve">Quelle: </w:t>
      </w:r>
      <w:r>
        <w:t>https://mcp.opencaselaw.ch/entscheid/ge_gerichte_ATAS_885_2019</w:t>
      </w:r>
    </w:p>
    <w:p>
      <w:r>
        <w:t>FR: GE_GERICHTE ATAS/885/2019 du 27 septembre 2019</w:t>
      </w:r>
    </w:p>
    <w:p>
      <w:r>
        <w:t>IT: GE_GERICHTE ATAS/885/2019 del 27 settembre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droit à une rente et/ou des mesures d’ordre professionnel du recourant.</w:t>
      </w:r>
    </w:p>
    <w:p>
      <w:r>
        <w:rPr>
          <w:b/>
        </w:rPr>
        <w:t>E. 4</w:t>
      </w:r>
    </w:p>
    <w:p>
      <w:r>
        <w:t>Le recourant reproche en premier lieu à l'intimé de ne pas avoir suffisamment motivé sa décision, en ce qu'il avait omis de préciser pourquoi il avait retenu une capacité de travail entière dans une activité adaptée depuis 2013. a. Selon l'art. 49 al. 3 LPGA, les décisions doivent être motivées. Pour répondre cette exigence, l’autorité se doit au moins de mentionner brièvement les motifs qui</w:t>
      </w:r>
    </w:p>
    <w:p>
      <w:r>
        <w:t>A/3296/2016 - 22/33 -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arrêt du Tribunal fédéral des assurances I 585/04 du 3 octobre 2005 consid. 2.2). b. En l'espèce, l'intimé a indiqué dans sa décision pourquoi les prestations étaient refusées, en indiquant que, selon le SMR, la capacité de travail du recourant était entière dans une activité adaptée. Il ressort donc de cette motivation que l'intimé s'était fondé sur l'appréciation de son service médical pour arriver cette conclusion. Certes, il n'est pas précisé sur quels éléments le SMR s'est fondé pour cette appréciation. Il n'en demeure pas moins que le recourant pouvait comprendre de cette motivation que l'existence d'une incapacité de travail dans toute activité était contestée et qu'il était ainsi en mesure de se rendre compte de la portée de la décision. Au regard de la jurisprudence en la matière, il sied de considérer par conséquent que cette motivation est suffisante. Au demeurant, l'éventuel vice a pu être réparé dans la présente procédure, dès lors que le recourant a pu se déterminer sur les motifs précis de la décision à l'occasion de son audition et dans sa réplique.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A/3296/2016 - 23/33 -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A/3296/2016 - 24/33 -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w:t>
      </w:r>
    </w:p>
    <w:p>
      <w:r>
        <w:t>A/3296/2016 - 25/33 - Plädoyer 2009/1 p. 70; arrêt du Tribunal fédéral des assurances I 35/03 du 24 octobre 2003 consid. 4.3 et les références, in Plädoyer 2004/3 p. 64; arrêt du Tribunal fédéral 9C_512/2013 du 16 janvier 2014 consid. 5.2.1).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le premier expert, le Dr F______ de la Clinique Corela, émet le 8 juillet 2013 les diagnostics d’une fracture du cinquième métatarsien droit et des algies inorganiques du membre inférieur droit. Il exclut par ailleurs un conflit fémoro-acétabulaire de la hanche. Selon cet expert, la capacité de travail est de 100% dans l’activité habituelle et il n’y a aucune limitation fonctionnelle d’origine médicale. Toutefois, il y a un doute quant à la valeur probante de cette expertise. En effet, le Tribunal fédéral a jugé qu’il n’était pas admissible de reprendre des conclusions d’une expertise de la Clinique Corela qui avait été établie dans des circonstances ébranlant de manière générale la confiance placée dans l’institution mandatée, dès lors que les manquements constatés au sein de ladite clinique soulevaient de sérieux doutes quant à la manière dont des dizaines d’expertises avaient été effectuées par cette institution et portaient atteinte à la confiance que les assurés et les organes de l’assurance-invalidité étaient en droit d’accorder à l’institution chargée de l’expertise. (ATF 144 V 258 consid. 2.3.2 p. 262 s.; arrêt du Tribunal fédéral 2C_32/2017 du 22 décembre 2017, consid. 2.3.2). De tels faits étaient de nature à modifier l’état de fait à la base d’un arrêt fondé sur une expertise de la Clinique Corela (op. cit. consid. 2.3.3). b. Au demeurant, le Dr I______ qui a expertisé le recourant en août 2015, s’écarte de cette expertise et diagnostique des douleurs du pli inguinal droit chroniques dans le contexte d’une déchirure du labrum, d’une délamination du cartilage du cotyle antéro-supérieur d’environ 10 mm et d’éléments en faveur d’un conflit fémoro- acétabulaire droit, ainsi que de suspicion d’une hernie crurale droite. La capacité de travail n’est que de 50 % dans l’activité habituelle, mais totale dans une activité adaptée, essentiellement en position assise. Selon cet expert, il y a lieu de procéder à une arthroscopie. Cependant, par la suite, les Drs E______ et J______ considèrent, dans leur rapport du 17 septembre 2015, qu’il semble peu probable que l’origine des douleurs réside</w:t>
      </w:r>
    </w:p>
    <w:p>
      <w:r>
        <w:t>A/3296/2016 - 26/33 - dans un problème de hanche, de sorte qu’il y a lieu d’écarter une indication pour une arthroscopie. Quant au Dr K______, il estime, dans son rapport du 23 septembre 2015, qu’il y a une indication pour une cure d’hernie inguinale bilatérale, mais qu’il convient d’abord d’effectuer l’arthroscopie éventuellement indiquée. Dans son rapport du 14 décembre 2015, le Dr K______ constate qu’il n'y a une indication ni à une arthroscopie ni à une cure de hernie. Il recommande dès lors au recourant de voir l’équipe de la douleur et éventuellement un rhumatologue. c. Au vu de cette situation médicale confuse, une expertise judiciaire a été confié au Dr Q______. Celui-ci pose les diagnostics, avec le concours du Dr S______ et un radiologue, de douleur de la hanche droite chronique, associée à un conflit fémoro- acétabulaire avec lésion du labrum antérieur et antéro-supérieur, associée à des lésions cartilagineuses de son cotyle sans pincement de l’interligne articulaire, de lombalgies chroniques, de troubles dégénératifs discrets à modérés et de séquelles douloureuse modérées de l’ancienne fracture du cinquième métatarsien du pied droit. Cela est confirmé par l'arthro-IRM effectuée le 12 juillet 2018. L’arthro-IRM de la hanche droite du 5 juillet 2017 ne doit pas être prise en compte, en raison de sa qualité technique limitée pour évaluer le labrum et le cartilage. A titre de limitations fonctionnelles, l’expert judiciaire explique que le recourant a de la peine à supporter les positions statiques prolongées, autant en position assise que debout (environ une demi-heure). Le périmètre de marche est limité à une demi-heure et il a des difficultés à monter et à descendre les escaliers ou à porter des charges modérées à lourdes (plus de 10 à 15 kg). Il est toutefois vraisemblable que l’intensité des douleurs et leur caractère handicapant soient amplifiés par les problèmes assécurologiques, ainsi que les difficultés sociales et les troubles psychiques, l’expertisé se décrivant comme déprimé et anxieux, avec des crises d’angoisse, associées à un état de fatigue permanent, des troubles du sommeil et des troubles cognitifs. En raison de l’intrication de la composante psychique et somatique, il est difficile de les évaluer séparément. Néanmoins, d’un point de vue théorique, la pathologie de la hanche douloureuse justifie en elle-même des limitations dans les activités en position debout prolongée avec port de charges, en position assise basse, nécessitant des accroupissements, agenouillements répétés ou montées et descentes d’escaliers avec port de charges ou en terrain instable. Pour la colonne lombaire, l’expert judiciaire ne retient pas de limitation. Il y a une bonne concordance entre les plaintes du recourant et les constatations médicales au niveau de la hanche. Cliniquement, on constate une hanche droite limitée et douloureuse à la mobilisation. Il existe aussi une bonne corrélation entre l’imagerie et la clinique. Quant à la capacité de travail, d’un point de vue strictement rhumatologique, elle serait possible dans une activité adaptée, de préférence en position assise (position suffisamment haute pour éviter une flexion de la hanche droite trop importante), avec possibilité d’alterner la position assise et debout, mais sans position debout prolongée ni déambulation fréquente, montées et descentes d’escaliers, port de charges en position debout, accroupissements répétés, etc. Il faut toutefois également tenir compte de la fluctuation et de l’intensité des douleurs de la hanche</w:t>
      </w:r>
    </w:p>
    <w:p>
      <w:r>
        <w:t>A/3296/2016 - 27/33 - droite d’un jour à l’autre, avec des périodes plus handicapantes. Le mieux serait d’envisager en premier lieu une prise en charge chirurgicale avec arthroscopie de la hanche. La décision opératoire paraît difficile à prendre en raison de la problématique psychologique qui n’est pas résolue compte tenu d’un état anxio- dépressif documenté. La présence d’un état douloureux chronique depuis plusieurs années et un parcours médical chaotique semble avoir entraîné un état d’épuisement psychique. Les ressources psychiques actuelles du recourant à se réinsérer dans le monde du travail semblent épuisées, ce qui relève toutefois d’une appréciation psychiatrique. Au niveau strictement rhumatologique, deux solutions sont possibles : soit une intervention orthopédique au niveau de la hanche droite et une réévaluation de la situation après une période de rééducation post-opératoire ; soit il n’y a pas d’opération (refus du chirurgien ou du patient) et une capacité de travail dans une activité adaptée, après un réentraînement progressif au travail, en raison d’un déconditionnement psycho-psychique important, d'abord à 50 % pendant trois à six mois, avant d’envisager la possibilité d’une augmentation de la capacité de travail. Quant à l’évolution de la capacité de travail depuis le 22 juillet 2015, lorsque le recourant a arrêté l’activité de peintre, elle est difficile, la symptomatologie ayant fluctué en intensité avec des périodes plus ou moins handicapantes. Une reprise de l’activité de peintre n’est toutefois plus possible. S'agissant de l’expertise du Dr I______, l’expert judiciaire y adhère globalement, sauf en ce qui concerne la reprise de travail à 100 % dans une activité adaptée, soit dans une activité essentiellement assise. En effet, la pathologie de la hanche est peu compatible avec une position assise prolongée, en raison de la flexion persistante de la hanche à 90 degré qui gêne le recourant. En outre, le Dr I______ a escamoté complètement la dimension psychologique qui semble jouer un rôle important déjà à l’époque. L’expert judiciaire juge en outre l’appréciation des EPI relativement cohérente, tout en précisant qu’il retiendrait une capacité de travail dans un premier temps au taux de 50 % au maximum, même dans une activité adaptée. Une évaluation psychiatrique est toutefois nécessaire. Le pronostic est réservé, le recourant étant toujours réticent pour une intervention chirurgicale. d. Auditionné par la chambre de céans et interrogé par la suite encore par écrit, le Dr S______ s’écarte de l’appréciation de la capacité de travail par l’expert judiciaire et estime que celle-ci est justifiée à 100 % en raison de l’atteinte de la hanche droite. Seule une opération chirurgicale pourrait résoudre ce problème physique. Confronté à cet avis divergeant, le Dr Q______ maintient ses conclusions, sauf en ce qu’il estime que la capacité de travail ne pourrait pas être augmentée après une période de travail de trois à six mois, comme retenu précédemment. e. Il ressort des expertises que le diagnostic de lésion du labrum antérieur et antéro- supérieur de la hanche droite avec des lésions cartilagineuses du cotyle est incontestable. Il doit également être admis que les douleurs à la hanche du recourant ont un substrat organique clair. Cela est confirmé aussi bien par le</w:t>
      </w:r>
    </w:p>
    <w:p>
      <w:r>
        <w:t>A/3296/2016 - 28/33 - Dr Q______ qui constate une bonne concordance entre les plaintes du recourant et les constatations médicales au niveau de la hanche, ainsi que l’examen clinique. Le Dr S______ déclare également, lors de son audition par la chambre de céans, que le recourant présente une symptomatologie de douleurs en rapport avec une telle atteinte. Les douleurs de la hanche et les limitations en découlant existent donc indépendamment d'une atteinte psychique et il n'y a aucune raison de penser qu'elles seraient amplifiées à cause de troubles psychiques. Au contraire, ce sont les douleurs et les avis discordants des médecins qui ont finalement atteint le recourant dans sa santé psychique et non l'inverse. Ainsi, seule l’appréciation de la capacité de travail en rapport avec les atteintes à la hanche prête à discussion, les autres atteintes organiques n’ayant pas d’incidence sur la capacité de travail dans une activité légère. Le recourant lui-même estime en outre ne pas être handicapé sur le plan psychique. De l'avis de la chambre de céans, la dernière évaluation de la capacité de travail du recourant par l’expert judiciaire paraît convaincante. En effet, elle correspond aux constatations des EPI lors du stage du recourant en février et mars 2017. A ce moment, une productivité de 50 % et au maximum de 75 % est constatée, en raison des douleurs importantes. Toutefois, une productivité de 75 % n’a pu être mesurée que sur deux heures d’activité consécutives. Au-delà, les rendements avaient tendance à diminuer en raison de la fatigue et de l’inconfort physique. Parfois, le recourant devait quitter l’activité en cours à cause des douleurs. Une diminution de la productivité due à des douleurs est par ailleurs rendue vraisemblable par le fait que celle-ci diminue avec la fatigue en fin de journée. Au demeurant, le recourant a fait de son mieux pour s’engager dans le stage, selon le rapport des EPI du 6 mars 2017. Il a voulu aller au bout de ses limites, sans diminuer l’horaire prévu. Néanmoins, même si son travail était régulier en qualité, il restait en-dessous du rendement de productivité attendu dans le marché primaire de l’emploi. Au vu des constatations des EPI, l’appréciation de la capacité par le Dr S______ doit être tempérée dans le sens précisé par l’expert judiciaire dans son complément d’expertise, à savoir une capacité de travail de 50 % dans une activité de conditionnement simple permettant l’alternance des positions. À cet égard, il faut également tenir compte de la fluctuation et de l’intensité des douleurs de la hanche droite d’un jour à l’autre, avec des périodes plus handicapantes, comme relevé par l'expert judiciaire. f. Quant au début de l’incapacité de travail, il ressort du dossier médical que le recourant se plaignait déjà depuis 2011 de coxalgies. Par ailleurs, il était en arrêt de travail durable pour cette atteinte depuis le 22 juin 2015, après avoir repris le travail en octobre 2014, selon l’expertise du Dr I______. Cela étant, il doit être admis que le recourant était déjà incapable de travailler à 50 % dans une activité adaptée au début de la naissance du droit éventuel à la rente, à savoir six mois après le dépôt de la demande en janvier 2016 (art. 29 al. 1 LAI) et</w:t>
      </w:r>
    </w:p>
    <w:p>
      <w:r>
        <w:t>A/3296/2016 - 29/33 - une année après le début de l'incapacité de travail durable dès juin 2015 (art. 28 al. 1 let. b LAI).</w:t>
      </w:r>
    </w:p>
    <w:p>
      <w:r>
        <w:rPr>
          <w:b/>
        </w:rPr>
        <w:t>E. 10</w:t>
      </w:r>
    </w:p>
    <w:p>
      <w:r>
        <w:t>Reste à examiner si le recourant subit une perte de gain dans l'exercice d'une activité adaptée.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w:t>
      </w:r>
    </w:p>
    <w:p>
      <w:r>
        <w:t>A/3296/2016 - 30/33 -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En cas d’absence de désignation des activités compatibles avec les limitations du recourant, le Tribunal fédéral a jugé qu'il eût été certainement judicieux que l'assurance-invalidité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w:t>
      </w:r>
    </w:p>
    <w:p>
      <w:r>
        <w:t>A/3296/2016 - 31/33 - limitations du recourant et accessibles sans aucune formation particulière (arrêt du Tribunal fédéral 9C_279/2008 du 16 décembre 2008 consid. 4).</w:t>
      </w:r>
    </w:p>
    <w:p>
      <w:r>
        <w:rPr>
          <w:b/>
        </w:rPr>
        <w:t>E. 11</w:t>
      </w:r>
    </w:p>
    <w:p>
      <w:r>
        <w:t>En l’occurrence, l'invalidité est née en juin 2016, une année après le début de l'incapacité de travail durable du recourant en juin 2015. L'année déterminante est ainsi 2016. Cependant, l'intimé a établi la perte de gain en 2016 sur la base des documents disponibles en 2015. Cela ne paraît pas critiquable, les dernières données quant à l'évolution des salaires jusqu'en 2016 n'étant pas encore connues à la date du calcul, le 22 juin 2016. Au demeurant, les salaires n'ont pas augmenté entre 2014 et 2015. Il ressort du dossier que l’intimé a d’abord établi la perte de gain à 1,2 % dans une activité adaptée à 100 %. Toutefois, dans sa décision dont est recours, il fait état d’une perte de gain de 9 %. Il s’agit à l’évidence d’une erreur. En effet, cette décision fait état d’un revenu annuel professionnel raisonnablement exigible avec invalidité de CHF 47'054.-, tout en mentionnant par la suite, dans les explications, que ce revenu est de CHF 59'808.-, comme retenu dans le calcul initial de la perte de gain. Il n'est pas non plus indiqué pourquoi le revenu d'invalide serait de CHF 47'054.- et non de CHF 59'808.-, montant retenu dans le calcul initial. L’intimé a pris en compte pour le revenu annuel brut sans invalidité un montant de CHF 60'530.-, lequel correspond aux revenus enregistrés dans le compte individuel du recourant en 2014. Cependant, l'ancien employeur a déclaré le 12 avril 2016 que le salaire du recourant était en 2015 de CHF 4'674.75 par mois, versé treize fois l'an. Ainsi, le salaire sans invalidité s'élève à CHF 60'771.75 par an. En effet, si le compte individuel mentionne un revenu inférieur, cela peut être dû aux absences du recourant en 2014 pour cause de maladie. Pour le revenu avec invalidité, l'intimé a retenu un revenu supérieur, soit le revenu de CHF 66'453.- ressortant de ESS 2014 pour les hommes exerçant des activités physiques ou manuelles simples (TA1 skill level 1), puis a adapté ce revenu à la durée normale hebdomadaire de travail. Ce calcul est conforme à la loi. Quant aux activités adaptées, celles-ci ne sont certes pas mentionnées dans la décision. Toutefois, selon la jurisprudence précitée en la matière, le marché du travail offre un éventail suffisamment large d'activités légères, dont on peut admettre qu'un nombre significatif sont adaptées aux limitations du recourant et accessibles sans aucune formation particulière. Au taux de 50 %, le revenu d'invalide est ainsi de CHF 30'385.87. En raison du manque total de polyvalence du recourant et du taux d'activité partiel, il y a par ailleurs lieu d'admettre un abattement de 10 %. Partant, le revenu d'invalide s'élève à CHF 27'347.28. De la comparaison de ce dernier revenu avec le revenu de valide de CHF 60'771.75 résulte une perte de gain de 55 %, ce qui ouvre le droit à une demi-rente six mois après le dépôt de la demande, soit dès juillet 2016.</w:t>
      </w:r>
    </w:p>
    <w:p>
      <w:r>
        <w:t>A/3296/2016 - 32/33 -</w:t>
      </w:r>
    </w:p>
    <w:p>
      <w:r>
        <w:rPr>
          <w:b/>
        </w:rPr>
        <w:t>E. 12</w:t>
      </w:r>
    </w:p>
    <w:p>
      <w:r>
        <w:t>En ce qui concerne la demande de mesures d’ordre professionnel, elle est sans objet, dès lors que ces mesures ont déjà été accordées au recourant par l’OCE.</w:t>
      </w:r>
    </w:p>
    <w:p>
      <w:r>
        <w:rPr>
          <w:b/>
        </w:rPr>
        <w:t>E. 13</w:t>
      </w:r>
    </w:p>
    <w:p>
      <w:r>
        <w:t>Cela étant, le recours sera partiellement admis, la décision annulée et le recourant mis au bénéfice d'une demi-rente d'invalidité dès juillet 2016.</w:t>
      </w:r>
    </w:p>
    <w:p>
      <w:r>
        <w:rPr>
          <w:b/>
        </w:rPr>
        <w:t>E. 14</w:t>
      </w:r>
    </w:p>
    <w:p>
      <w:r>
        <w:t>Dès lors que l'intimé succombe en partie, une indemnité de CHF 2'500.- est octroyée au recourant à titre de dépens.</w:t>
      </w:r>
    </w:p>
    <w:p>
      <w:r>
        <w:rPr>
          <w:b/>
        </w:rPr>
        <w:t>E. 15</w:t>
      </w:r>
    </w:p>
    <w:p>
      <w:r>
        <w:t>La procédure n’étant pas gratuite, l'intimé sera condamné à un émolument de justice, fixé au minimum légal de CHF 200.- (art. 69 al. 1bis LAI).</w:t>
      </w:r>
    </w:p>
    <w:p>
      <w:r>
        <w:t>***</w:t>
      </w:r>
    </w:p>
    <w:p>
      <w:r>
        <w:t>A/3296/2016 - 33/33 -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