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ATAS/884/2025 vom 17. November 2025</w:t>
      </w:r>
    </w:p>
    <w:p>
      <w:r>
        <w:t>GE Cour de justice, 2025-11-17, FR</w:t>
      </w:r>
    </w:p>
    <w:p>
      <w:r>
        <w:rPr>
          <w:b/>
        </w:rPr>
        <w:t xml:space="preserve">Quelle: </w:t>
      </w:r>
      <w:r>
        <w:t>https://mcp.opencaselaw.ch/entscheid/ge_gerichte_ATAS_884_2025</w:t>
      </w:r>
    </w:p>
    <w:p>
      <w:r>
        <w:t>FR: GE_GERICHTE ATAS/884/2025 du 17 novembre 2025</w:t>
      </w:r>
    </w:p>
    <w:p>
      <w:r>
        <w:t>IT: GE_GERICHTE ATAS/884/2025 del 17 novembre 2025</w:t>
      </w:r>
    </w:p>
    <w:p>
      <w:pPr>
        <w:pStyle w:val="Heading2"/>
      </w:pPr>
      <w:r>
        <w:t>Erwägungen</w:t>
      </w:r>
    </w:p>
    <w:p>
      <w:r>
        <w:rPr>
          <w:b/>
        </w:rPr>
        <w:t>E. 1</w:t>
      </w:r>
    </w:p>
    <w:p>
      <w:r>
        <w:t>A/920/2025 - 10/21 -</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recours porte sur le droit du recourant à des prestations d’invalidité.</w:t>
      </w:r>
    </w:p>
    <w:p>
      <w:r>
        <w:rPr>
          <w:b/>
        </w:rPr>
        <w:t>E. 3</w:t>
      </w:r>
    </w:p>
    <w:p>
      <w:r>
        <w:t>Il convient en premier lieu d’examiner le grief du recourant quant au défaut de motivation allégué de la décision. Le droit d'être entendu, tel qu'il est garanti par les art. 29 al. 2 de la Constitution fédérale (Cst. – RS 101) implique notamment, pour l'autorité, l’obligation de motiver sa décision, afin que le destinataire puisse la comprendre, l'attaquer utilement s'il y a lieu et afin que l'autorité de recours puisse exercer son contrôle. Dès lors que l'on peut discerner les motifs qui ont guidé la décision de l'autorité, le droit à une décision motivée est respecté, même si la motivation présentée est erronée (ATF 141 V 557 consid. 3.2.1 ; arrêt du Tribunal fédéral 6B_1331/2021 du 11 octobre 2022 consid. 1.1). En l’espèce, le recourant a eu accès au dossier et pris connaissance de l’expertise et de l’avis du SMR. Il est ainsi en mesure de comprendre sur quelles bases et en fonction de quels diagnostics l’intimé a rendu la décision querellée. Les éléments du calcul du degré d’invalidité lui ont également été communiqués. Par conséquent, son grief quant au défaut de motivation tombe à faux.</w:t>
      </w:r>
    </w:p>
    <w:p>
      <w:r>
        <w:rPr>
          <w:b/>
        </w:rPr>
        <w:t>E. 4</w:t>
      </w:r>
    </w:p>
    <w:p>
      <w:r>
        <w:t>La LAI a connu une novelle le 19 juin 2020, entrée en vigueur le 1er janvier 2022. Dans ce cadre, le système des quarts de rente jusque-là applicable a été remplacé par un système linéaire de rentes (Message concernant la modification de la loi fédérale sur l'assurance-invalidité [Développement continu de l'assurance- invalidité], FF 2017 2442). L’art. 28b LAI en vigueur depuis le 1er janvier 2022 dispose que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L’al. 4 détaille les taux de rente correspondant aux degrés d’invalidité entre 40% et 50%. Selon la jurisprudence, lorsque la décision dont est recours a été rendue après le 1er janvier 2022, il y a lieu conformément aux principes de droit intertemporel généralement applicables (cf. sur ce point ATF 144 V 210 consid. 4.3.1) de déterminer en vertu du droit applicable jusqu’au 31 décembre 2021 si un droit à la rente est né avant cette date. Lorsque le droit à la rente est né après cette date, le</w:t>
      </w:r>
    </w:p>
    <w:p>
      <w:r>
        <w:t>A/920/2025 - 11/21 - nouveau droit est applicable (arrêt du Tribunal fédéral 9C_60/2023 du 20 juillet 2023 consid. 2.2). En l’espèce, dès lors que l’éventuel droit à la rente naîtrait au plus tôt six mois après le dépôt de la demande (cf. art. 29 al. 1 LAI), soit en juillet 2022, le nouveau droit est applicable.</w:t>
      </w:r>
    </w:p>
    <w:p>
      <w:r>
        <w:rPr>
          <w:b/>
        </w:rPr>
        <w:t>E. 5</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L’art. 8 al. 3 let. b LAI dispose que les mesures de réadaptation comprennent notamment des mesures de réinsertion préparant à la réadaptation professionnelle et les mesures d’ordre professionnel, lesquelles englobent l’orientation professionnelle, la formation professionnelle initiale, le reclassement, le placement et l’aide en capital.</w:t>
      </w:r>
    </w:p>
    <w:p>
      <w:r>
        <w:rPr>
          <w:b/>
        </w:rPr>
        <w:t>E. 5.1</w:t>
      </w:r>
    </w:p>
    <w:p>
      <w:r>
        <w:t>L’art. 14a LAI précise que l’assuré qui présente depuis six mois au moins une incapacité de travail (art. 6 LPGA) de 50% au moins a droit à des mesures de réinsertion préparant à la réadaptation professionnelle (mesures de réinsertion), pour autant que celles-ci servent à créer les conditions permettant la mise en œuvre de mesures d’ordre professionnel (al. 1). Sont considérées comme mesures de réinsertion les mesures ciblées ci-après qui visent la réadaptation professionnelle : les mesures socioprofessionnelles (let. a) ; et les mesures d’occupation (let. b) (al. 2).</w:t>
      </w:r>
    </w:p>
    <w:p>
      <w:r>
        <w:rPr>
          <w:b/>
        </w:rPr>
        <w:t>E. 5.2</w:t>
      </w:r>
    </w:p>
    <w:p>
      <w:r>
        <w:t>L’art. 15 LAI dispose que l’assuré auquel son invalidité rend difficile le choix d’une profession ou l’exercice de son activité antérieure a droit à l’orientation professionnelle.</w:t>
      </w:r>
    </w:p>
    <w:p>
      <w:r>
        <w:rPr>
          <w:b/>
        </w:rPr>
        <w:t>E. 5.3</w:t>
      </w:r>
    </w:p>
    <w:p>
      <w:r>
        <w:t>Aux termes de l'art. 17 al. 1 LAI,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à peu près équivalente à celle que lui offrait son ancienne activité (arrêt du Tribunal fédéral 9C_308/2021 du 7 mars 2021 consid. 7.3 et les références).</w:t>
      </w:r>
    </w:p>
    <w:p>
      <w:r>
        <w:rPr>
          <w:b/>
        </w:rPr>
        <w:t>E. 5.4</w:t>
      </w:r>
    </w:p>
    <w:p>
      <w:r>
        <w:t>Pour déterminer si une mesure est de nature à maintenir ou à améliorer la capacité de gain d'un assuré, il convient d'effectuer un pronostic sur les chances de succès des mesures demandées (ATF 132 V 215 consid. 3.2.2 et les références). De plus, il faut que l'invalidité soit d'une certaine gravité pour que le droit à des mesures de réadaptation soit ouvert. La jurisprudence a ainsi fixé le seuil d'invalidité à partir duquel des mesures de réadaptation doivent être octroyées à</w:t>
      </w:r>
    </w:p>
    <w:p>
      <w:r>
        <w:t>A/920/2025 - 12/21 - 20% (ATF 130 V 488 consid. 4.2 ; arrêt du Tribunal fédéral 8C_128/2022 du 15 décembre 2022 consid. 7.3).</w:t>
      </w:r>
    </w:p>
    <w:p>
      <w:r>
        <w:rPr>
          <w:b/>
        </w:rPr>
        <w:t>E. 6</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Pour procéder à la comparaison des revenus, il convient en principe de se placer au moment de la naissance du droit à la rente (ATF 128 V 174 consid. 4a).</w:t>
      </w:r>
    </w:p>
    <w:p>
      <w:r>
        <w:rPr>
          <w:b/>
        </w:rPr>
        <w:t>E. 6.1</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En effet, selon l’expérience générale, la dernière activité aurait été poursuivie sans atteinte à la santé. Les exceptions à ce principe doivent être établies au degré de la vraisemblance prépondérante (ATF 139 V 28 consid. 3.3.2 ; arrêt du Tribunal fédéral 8C_7/2025 du 25 septembre 2025 consid. 4.2).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8C_732/2019 du 19 octobre 2020 consid. 3.2 et les références).</w:t>
      </w:r>
    </w:p>
    <w:p>
      <w:r>
        <w:rPr>
          <w:b/>
        </w:rPr>
        <w:t>E. 6.2</w:t>
      </w:r>
    </w:p>
    <w:p>
      <w:r>
        <w:t>Pour déterminer le revenu d'invalide de l'assuré, il faut en l'absence d'un revenu effectivement réalisé se référer aux données salariales, telles qu'elles résultent des ESS (ATF 126 V 75 consid. 3b). Selon la jurisprudence,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permet de tenir compte des différents éléments qui peuvent influencer le revenu d'une activité lucrative (ATF 148 V 174 consid. 6.3). On soulignera que l’art. a26bis al. 3 du règlement sur l’assurance- invalidité du 17 janvier 1961 (RAI - RS 831.201), dans sa teneur du 1er janvier 2022 au 31 décembre 2023, avait la teneur suivante : si, du fait de l’invalidité, les capacités fonctionnelles de l’assuré au sens de l’art. 49 al. 1bis, ne lui permettent de travailler qu’à un taux d’occupation de 50% ou moins, une déduction de 10% pour le travail à temps partiel est opérée sur la valeur statistique. Le Tribunal fédéral a jugé que cette disposition n’interdisait pas de concéder un abattement</w:t>
      </w:r>
    </w:p>
    <w:p>
      <w:r>
        <w:t>A/920/2025 - 13/21 - allant au-delà de cette réduction forfaitaire réglementaire de 10% en fonction des critères dégagés par la jurisprudence (arrêt du Tribunal fédéral 8C_823/2023 du</w:t>
      </w:r>
    </w:p>
    <w:p>
      <w:r>
        <w:rPr>
          <w:b/>
        </w:rPr>
        <w:t>E. 8</w:t>
      </w:r>
    </w:p>
    <w:p>
      <w:r>
        <w:t>Dans un arrêt de principe concernant les troubles somatoformes douloureux (ATF 141 V 281), le Tribunal fédéral a retenu que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Il y a désormais lieu de se fonder sur une grille d'analyse comportant divers indicateurs qui rassemblent les éléments essentiels propres aux troubles de nature psychosomatique (consid. 3.6). Ces indicateurs concernent deux catégories, à savoir celle du degré de gravité fonctionnelle et celle de la cohérence.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 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w:t>
      </w:r>
    </w:p>
    <w:p>
      <w:r>
        <w:t>A/920/2025 - 15/21 -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w:t>
      </w:r>
    </w:p>
    <w:p>
      <w:r>
        <w:t>C. Axe « contexte social »</w:t>
      </w:r>
    </w:p>
    <w:p>
      <w:r>
        <w:t>A/920/2025 - 16/21 -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(ATF 137 V 64 consid. 1.2 in fine). Dans un arrêt de 2017, le Tribunal fédéral a étendu la jurisprudence précitée à toutes les maladies psychiques (ATF 143 V 409 consid. 4.5).</w:t>
      </w:r>
    </w:p>
    <w:p>
      <w:r>
        <w:rPr>
          <w:b/>
        </w:rPr>
        <w:t>E. 9</w:t>
      </w:r>
    </w:p>
    <w:p>
      <w:r>
        <w:t>En l’espèce, l’intimé a fondé sa décision sur l’expertise du CEMEDEX. Celle-ci appelle les commentaires suivants.</w:t>
      </w:r>
    </w:p>
    <w:p>
      <w:r>
        <w:t>A/920/2025 - 17/21 -</w:t>
      </w:r>
    </w:p>
    <w:p>
      <w:r>
        <w:rPr>
          <w:b/>
        </w:rPr>
        <w:t>E. 9.1</w:t>
      </w:r>
    </w:p>
    <w:p>
      <w:r>
        <w:t>Sur le plan psychiatrique, si le rapport du Dr J______ comprend tous les éléments nécessaires selon la jurisprudence à la reconnaissance du caractère probant d’une expertise, puisqu’il contient une anamnèse, un résumé du dossier, relate les plaintes du recourant et les constatations cliniques, on note certains passages difficilement intelligibles. On peut notamment citer « l’exaltation du mur » mentionnée en p. 10, la phrase figurant sous le chapitre Description du dernier poste de travail en p. 8 « il devait se faire opérer. Sans chronique des loges, mais le chirurgien lui a dit qu’il n’y avait pas de scène, chronique des loges » et en p. 10 l’indication en lien avec les diagnostics « Nous n’avons pas pu évaluer l’addiction selon la classification DSM5, car cette personne admise et consommée de l’alcool ». Si des coquilles ou même des phrases tronquées dans un rapport ne font pas nécessairement obstacle à la reconnaissance de son caractère probant, les passages précités suscitent néanmoins certains doutes quant au soin amené à l’établissement du rapport, que le Dr J______ ne paraît pas avoir relu avec la diligence qu’on peut attendre d’un expert. De plus, sur le fond, ce rapport n’est pas totalement convaincant, notamment quant à l’analyse des incohérences. En premier lieu, l’expert psychiatre rapporte dans ce cadre que le recourant se sent extrêmement fatigué et a abandonné ses activités sportives, alors qu’il ne présentait pas de douleurs lors de l’entretien. Or, on peut difficilement comparer les exigences physiques d’efforts sportifs à celles d’un entretien avec un médecin. Le Dr J______ soutient par ailleurs que le recourant peut accomplir la plupart de ses tâches quotidiennes – alors même que la description d’une journée-type montre que les corvées ménagères lui prennent un temps certain. Cette assertion contraste du reste avec la fatigue et la diminution des performances que le Dr J______ semble admettre en lien avec la neurasthénie. De plus, l’expert note dans le cadre de l’examen de la cohérence que l’assuré ne refuse pas les traitements, mais retient un refus inconscient de l’efficacité du traitement, concluant ainsi à une résistance aux traitements favorisée par cette atteinte. À défaut d’explications scientifiques plus complètes à ce sujet, on peine à comprendre cette analyse, en tant qu’elle semble suggérer qu’un patient serait à même de bloquer par un processus de pensée subconscient les mécanismes physiologiques d’un traitement médicamenteux. Par ailleurs, on ne saurait retenir d’incohérence au sens de la jurisprudence si une maladie est à l’origine de l’inefficacité du traitement. Pour le surplus, on s’étonne que le Dr J______ ne retienne pas de troubles du sommeil, alors que le recourant se couche en fin d’après-midi pour se relever vers 8 heures. Par ailleurs, l’expertise psychiatrique est peu détaillée en ce qui concerne les indicateurs jurisprudentiels, en particulier s’agissant des ressources, que l’expert présente sous forme de tableau sans se prononcer sur les facultés du recourant à les exploiter dans le cadre de son atteinte à la santé. Il ne discute enfin guère la baisse des activités du recourant depuis l’apparition des troubles dont celui-ci se plaint.</w:t>
      </w:r>
    </w:p>
    <w:p>
      <w:r>
        <w:t>A/920/2025 - 18/21 - La question de la valeur probante de l’expertise du Dr J______ peut cependant rester ouverte, dès lors que les Drs L______ et K______ ont mentionné une aggravation de l’état de santé sur ce plan en novembre 2024, entraînant dès cette date une capacité de travail de 50%, et le médecin de la clinique N______ a quant à lui mentionné un trouble dépressif récurrent d’intensité moyenne. Il est vrai que ni la brève attestation des Drs L______ et K______, ni la lettre de sortie de cette clinique ne remplissent les critères jurisprudentiels pour se voir reconnaître une entière valeur probante. Cela étant, cela ne suffit pas à écarter purement et simplement ces rapports, dès lors que ces médecins ne se contentent pas d’opposer leur appréciation de la situation aux conclusions de l’expert psychiatre, mais signalent une dégradation survenue après que celui-ci a rendu son rapport, et qu’ils rapportent des symptômes que le Dr J______ n’a pas constatés au moment de son expertise. C’est ici le lieu de rappeler que de jurisprudence constante, le juge des assurances sociales apprécie la légalité des décisions attaquées d'après l'état de fait existant au moment où la décision litigieuse a été rendue. Les faits survenant postérieurement doivent en principe faire l'objet d'une nouvelle décision administrative (ATF 144 V 210 consid. 4.3.1, arrêt du Tribunal fédéral 8C_239/2020 du 19 avril 2021 consid. 7.2.1). En l’espèce, l’intimé devait tenir compte et investiguer plus avant cette éventuelle aggravation – survenue antérieurement à la décision litigieuse du 11 février 2025 - laquelle n’est pas nécessairement en contradiction avec les conclusions du Dr J______ puisqu’elle lui est postérieure.</w:t>
      </w:r>
    </w:p>
    <w:p>
      <w:r>
        <w:rPr>
          <w:b/>
        </w:rPr>
        <w:t>E. 9.2</w:t>
      </w:r>
    </w:p>
    <w:p>
      <w:r>
        <w:t>Sur le plan neurologique, le Dr I______ a exclu tout diagnostic d’ordre neurologique. Son expertise est pour le moins succincte. Toutefois, force est de constater que ses conclusions rejoignent les avis des différents neurologues consultés par le recourant, qui n’ont pas trouvé d’origine neurologique aux troubles du recourant. S’il n’existe ainsi aucun élément médical permettant de remettre en cause le volet neurologique de l’expertise malgré son caractère sommaire, il n’en reste pas moins que le Dr I______ a énuméré plusieurs atteintes qui relèvent davantage de l’orthopédie, de la rhumatologie ou de la médecine du sport, telles que la laxité de l’articulation et la synovite diagnostiquées en 2014 par le Dr B______ et confirmées par la Dre G______, ainsi que le syndrome des loges. Selon le rapport du Dr E______ du 7 octobre 2022, les tests réalisés au CHUV ont permis de confirmer l’existence de cette dernière atteinte – malgré la mesure normale évoquée sans autre précision par la Dre G______. Or, il ressort des rapports du Dr E______ que le syndrome des loges apparemment formellement diagnostiqué rend impossible l’activité de sertisseur, la Dre G______ relevant quant à elle que les autres symptômes liés aux atteintes aux mains peuvent déranger le recourant dans le travail et entraîner des douleurs. Si celle-ci semble admettre une poursuite de l’activité habituelle, c’est sous réserve d’une adaptation du poste, dont on</w:t>
      </w:r>
    </w:p>
    <w:p>
      <w:r>
        <w:t>A/920/2025 - 19/21 - ignore en quoi elle consisterait et si elle est compatible avec les exigences d’un tel métier. Malgré ce qui précède, l’intimé n’a pas du tout instruit l’incidence des troubles observés par les Drs B______ et G______ sur la capacité de travail, pas plus que celle du syndrome des loges, et on ignore notamment quelle a été l’évolution de ces troubles et les traitements entrepris.</w:t>
      </w:r>
    </w:p>
    <w:p>
      <w:r>
        <w:rPr>
          <w:b/>
        </w:rPr>
        <w:t>E. 9.3</w:t>
      </w:r>
    </w:p>
    <w:p>
      <w:r>
        <w:t>Or, il est essentiel pour déterminer le droit aux prestations du recourant de tenir compte de l’ensemble des atteintes et de leurs répercussions sur la capacité de gain. La chambre de céans ne disposant pas des renseignements nécessaires à cet effet, il convient de renvoyer la cause à l’intimé, à charge pour celui-ci de compléter l’instruction sur ce plan, notamment en se procurant des rapports complémentaires des médecins traitants ainsi que les rapports du Dr F______, puis en confiant une expertise à un spécialiste en médecine du sport ou en chirurgie orthopédique, qui s’adjoindront dans la mesure utile le concours d’un spécialiste en chirurgie de la main. Il appartiendra également à l’intimé de mettre en œuvre une expertise psychiatrique au vu des aggravations rapportées avant que ne soit rendue la décision querellée. Compte tenu des doutes que suscite l’expertise du Dr J______, l’expert psychiatre devra se prononcer sur la capacité de travail et de gain sur ce plan durant l’ensemble de la période litigieuse. Ceci fait, l’intimé devra déterminer à nouveau le degré d’invalidité. À ce sujet, la chambre de céans rappelle que si les mesures d’instruction à mettre en œuvre devaient révéler que l’activité de sertisseur n’est plus exigible, il y aurait lieu de calculer le degré d’invalidité non pas en fonction du revenu statistique d’une telle activité, comme l’intimé l’a fait dans son calcul du 6 mai 2024, mais du revenu concrètement réalisé par le recourant dans le cadre de son dernier emploi. En effet, bien que celui-ci soit à l’origine de la résiliation de ses rapports de travail, il ressort du dossier que c’est en raison des problèmes de santé rencontrés qu’il a donné sa démission, ses médecins traitants ayant confirmé que cette profession était contre-indiquée sur le plan médical. Dans ces conditions, il convient d’appliquer la présomption selon laquelle le recourant aurait poursuivi l’activité exercée au service de son dernier employeur sans atteinte à la santé. L’intimé devra ensuite statuer sur le droit à la rente et sur le droit à des mesures d’ordre professionnel. Au vu de l’issue du litige, la chambre de céans renoncera à l’audition du Dr L______, par appréciation anticipée des preuves (ATF 142 III 360 consid. 4.1.1).</w:t>
      </w:r>
    </w:p>
    <w:p>
      <w:r>
        <w:rPr>
          <w:b/>
        </w:rPr>
        <w:t>E. 10</w:t>
      </w:r>
    </w:p>
    <w:p>
      <w:r>
        <w:t>Compte tenu de ce qui précède, la décision de l’intimé est annulée. Le recours est partiellement admis. Le recourant a droit à des dépens, nonobstant l’octroi de l’assistance juridique, qui seront fixés à CHF 2'500.- (art. 61 let. g LPGA).</w:t>
      </w:r>
    </w:p>
    <w:p>
      <w:r>
        <w:t>A/920/2025 - 20/21 - La procédure en matière de contestations portant sur des prestations de l’AI devant le tribunal cantonal des assurances n’étant pas gratuite (art. 69 al. 1bis LAI), l’intimé supporte l’émolument de procédure de CHF 200.-.</w:t>
      </w:r>
    </w:p>
    <w:p>
      <w:r>
        <w:t>A/920/2025 - 21/21 -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