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ATAS/884/2015 vom 19. November 2015</w:t>
      </w:r>
    </w:p>
    <w:p>
      <w:r>
        <w:t>GE Cour de justice, 2015-11-19, FR</w:t>
      </w:r>
    </w:p>
    <w:p>
      <w:r>
        <w:rPr>
          <w:b/>
        </w:rPr>
        <w:t xml:space="preserve">Quelle: </w:t>
      </w:r>
      <w:r>
        <w:t>https://mcp.opencaselaw.ch/entscheid/ge_gerichte_ATAS_884_2015</w:t>
      </w:r>
    </w:p>
    <w:p>
      <w:r>
        <w:t>FR: GE_GERICHTE ATAS/884/2015 du 19 novembre 2015</w:t>
      </w:r>
    </w:p>
    <w:p>
      <w:r>
        <w:t>IT: GE_GERICHTE ATAS/884/2015 del 19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w:t>
      </w:r>
    </w:p>
    <w:p>
      <w:r>
        <w:t>A/273/2015 - 18/34 -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(art. 56 ss et 38 LPGA).</w:t>
      </w:r>
    </w:p>
    <w:p>
      <w:r>
        <w:rPr>
          <w:b/>
        </w:rPr>
        <w:t>E. 5</w:t>
      </w:r>
    </w:p>
    <w:p>
      <w:r>
        <w:t>Le litige porte sur la question de savoir si la recourante présente une invalidité lui ouvrant droit à des prestations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L’assuré a droit à une rente entière s’il est invalide à 70% au moins, à un trois- 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A/273/2015 - 19/34 -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respectées (cf. ICD).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(arrêt du Tribunal fédéral 9C_492/2014 du 3 juin 2015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A/273/2015 - 20/34 -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en vigueur jusqu’ici, ceux-ci n'entraînent pas, en règle générale, une limitation de longue durée de la capacité de travail pouvant conduire à une invalidité (ATF 130 V 352 consid. 2.2.3). Il existe une présomption que de tels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 et ATF 131 V 49 consid. 1.2).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En présence de tels syndromes,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(arrêt du Tribunal fédéral 9C_492/2014 du 3 juin 2015), le Tribunal fédéral a abandonné la présomption qui prévalait jusqu’à ce jour, selon laquelle les syndromes du type troubles somatoformes douloureux et affections psychosomatiques assimilées peuvent être surmontés en règle générale par un effort</w:t>
      </w:r>
    </w:p>
    <w:p>
      <w:r>
        <w:t>A/273/2015 - 21/34 -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(consid. 3.6 et 4). Il n'y a plus lieu de se fonder sur les critères de l'ATF 130 V 352, mais sur une grille d’analyse comportant divers indicateurs qui rassemblent les éléments essentiels propres aux troubles de nature psychosomatique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(II;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déterminantes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w:t>
      </w:r>
    </w:p>
    <w:p>
      <w:r>
        <w:t>A/273/2015 - 22/34 -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(consid. 4.3.2). Ainsi, un trouble dépressif réactionnel au trouble somatoforme ne perd pas toute signification en tant que facteur d’affaiblissement potentiel des ressources, mais doit être pris en considération dans l’approche globale (consid. 4.3.1.3). B. Axe « personnalité » (diagnostic de la personnalité, ressources personnelles) Il s’agit d’accorder une importance accrue au complexe de personnalité de l’assuré (développement et structure de la personnalité, fonctions psychiques fondamentales). Le concept de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A/273/2015 - 23/34 -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(anosogosie). Les mêmes principes s’appliquent pour les mesures de réadaptation. Un comportement incohérent de l'assuré est là aussi un indice que la limitation fonctionnelle est due à d’autres raison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11</w:t>
      </w:r>
    </w:p>
    <w:p>
      <w:r>
        <w:t>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w:t>
      </w:r>
    </w:p>
    <w:p>
      <w:r>
        <w:t>A/273/2015 - 24/34 -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w:t>
      </w:r>
    </w:p>
    <w:p>
      <w:r>
        <w:rPr>
          <w:b/>
        </w:rPr>
        <w:t>E. 12</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 Peu importe l'ordre dans lequel interviennent les éléments constitutifs d'une expertise probante ou l'effort relatif qu'il faut produire pour les déceler. Seul compte le fait qu'ils existent bel et bien et aient fait l'objet d'un traitement approprié (arrêt du Tribunal fédéral 9C_957/2012 du 21 mai 2013 consid. 3.2). Ainsi, en principe, lorsqu’au stade de la procédure administrative, une expertise confiée à un médecin indépendant est établie par un spécialiste reconnu, sur la base</w:t>
      </w:r>
    </w:p>
    <w:p>
      <w:r>
        <w:t>A/273/2015 - 25/34 -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la valeur probante d'une expertise dans une discipline médicale particulière dépend du point de savoir si l'expert dispose d'une formation spécialisée dans le domaine concerné. Le titre de spécialiste (FMH) n'en est en revanche pas une condition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du Tribunal fédéral 9C_359/2009 du 26 mars 2010 consid. 4.3 et les références).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A/273/2015 - 26/34 -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A/273/2015 - 27/34 -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rPr>
          <w:b/>
        </w:rPr>
        <w:t>E. 14</w:t>
      </w:r>
    </w:p>
    <w:p>
      <w:r>
        <w:t>a) En l’espèce, les parties s’opposent sur les diagnostics retenus par les différents médecins et experts consultés dans le cadre de la demande de prestations déposée par la recourante, ainsi que sur la valeur probante des différents rapports versés au dossier. L’intimé considère que la recourante présente une pleine capacité de travail dans toute activité, avec une diminution de rendement de 20%, pourcentage correspondant à son degré d’invalidité. Son activité habituelle étant déjà adaptée à ses limitations fonctionnelles, des mesures professionnelles sont inutiles. Quant à la recourante, elle soutient être dans l’incapacité totale de travailler depuis le 19 novembre 2012. b) Les parties s’appuyant sur divers rapports médicaux pour parvenir à leurs conclusions respectives, il convient d’examiner leur valeur probante. c) La recourante se fonde principalement sur les nombreux rapports rendus par les Drs G______, H______, N______ et L______. Dans son rapport du 13 septembre 2013, le Dr L______ a retenu que l’assurée présentait une incapacité totale de travailler depuis le 19 novembre 2012, en raison d’une polyarthrite rhumatoïde présente depuis 1990. Les limitations fonctionnelles induites par cette pathologie lui interdisaient toute activité manuelle et incluaient des difficultés à marcher. Faute d’une motivation suffisante permettant de comprendre pourquoi le diagnostic de polyarthrite rhumatoïde a été retenu et en quoi il affecte la capacité de travail de la recourante, la valeur probante de ce rapport ne peut être reconnue.</w:t>
      </w:r>
    </w:p>
    <w:p>
      <w:r>
        <w:t>A/273/2015 - 28/34 - Dans son rapport du 20 novembre 2013, le Dr N______ a retenu le diagnostic de probable polyarthrite rhumatoïde. L’incapacité de travail était de 100% dans toute profession, depuis le 31 octobre 2013. Comme pour le Dr L______, une motivation suffisante des conclusions fait défaut. En outre, le diagnostic de polyarthrite rhumatoïde est considéré comme probable, ce qui n’est pas suffisant pour reconnaître à ce rapport une valeur probante. Quant aux rapports du Dr G______, ils sont trop succincts et ne permettent pas de comprendre dans quelle mesure les différents diagnostics influent sur la capacité de travail de la recourant. De plus, il n’énonce aucune limitation particulière, se contentant d’indiquer que sa capacité de travail est nulle. Par ailleurs, le Dr G______ a relevé que la recourante rendait par son côté démonstratif et angoissé, voire inadéquat, difficile et laborieux l’établissement d’une relation médecin-patient objective et équilibrée. S’il indique y être parvenu après plusieurs mois, il ne détermine pas comment il différencie les plaintes de la recourante des éléments objectifs constatés lors des consultations. Au contraire, il se contente d’affirmer qu’il est en mesure, au même titre que les autres médecins traitants de la recourante, d’apprécier à juste titre son côté démonstratif, ce qui n’est pas suffisant au regard des critères établis par la jurisprudence pour déterminer la valeur probante des documents médicaux. Quoi qu’il en soit, la chambre de céans doit tenir compte du fait qu’en l’occurrence, le Dr G______ sera généralement enclin, en cas de doute, à prendre parti pour la recourante en raison de la relation de confiance qui l'unit à cette dernière, en sa qualité de médecin traitant depuis plusieurs années. Dans ses rapports du 15 mai 2013 et du 5 mai 2014, le Dr H______ a retenu les diagnostics d’épuisement professionnel, de crise de panique avec agoraphobie, de traits de la personnalité anxieuse et de status polyarthrose et post-opérations hernies discales. Lesdits rapports sont suffisamment développés, mais contiennent des conclusions incohérentes et parfois non motivées. En effet, bien que le Dr H______ retienne des diagnostics psychiatriques invalidants, il considère que la capacité de travail de la recourante est nulle en raison des seuls diagnostics somatiques, principalement. En outre, il ne décrit aucune limitation fonctionnelle en rapport avec ces atteintes. La valeur probante de ces rapports ne peut dès lors être reconnue. d) L’intimé fonde principalement sa position sur l’expertise de la Clinique Corela du 19 avril 2013, sur le rapport du 4 septembre 2013 du Dr M______ et sur le rapport du 23 octobre 2014 de la Dresse P______. aa) La recourante remet en cause les compétences professionnelles de la Dresse J______ et du Dr I______ de la Clinique Corela, ces derniers ne figurant pas sur la liste des médecins FMH. En l’occurrence, il ressort des arrêtés délivrés par le DARES et versés à la procédure par l’intimé que les Drs J______ et I______ sont au bénéfice d’une autorisation à exercer la profession de médecin à titre indépendant, respectivement</w:t>
      </w:r>
    </w:p>
    <w:p>
      <w:r>
        <w:t>A/273/2015 - 29/34 - en rhumatologie et en psychiatrie et psychothérapie, dans le canton de Genève. Ainsi, on ne saurait mettre en doute leur niveau de qualification dans la mesure où les experts désignés se sont prononcés dans leurs domaines de compétence respectifs. bb) S’agissant de l’expertise réalisée au sein de la Clinique Corela par ces médecins, il convient de relever que sa lecture est rendue difficile par le caractère prolixe du document (100 pages) et les nombreuses redondances qu’il comporte. En outre, sa structure, divisée en chapitres par diagnostics et en sous-titres parfois inutiles et peu clairs, mais assortis de conclusions propres, est de nature à induire en erreur quant aux limitations fonctionnelles et diagnostics retenus globalement in fine pour chacun des deux volets de l’expertise. De plus, de par sa structure, l’expertise rend difficile la distinction entre les éléments apportés par la recourante aux experts, les observations cliniques de ces derniers, les plaintes relatées dans d’anciens rapports médicaux, les éléments tirés de la lecture du dossier médical et les passages théoriques. À cela s’ajoute plusieurs éléments contradictoires et des incohérences avec le dossier médical mis à disposition des experts. Ainsi, ceux-ci retiennent deux diagnostics de discarthrose, écartant tout status post opératoire de hernie discale, alors que le fait que la recourante a dû subir deux interventions chirurgicales en lien avec des hernies discales ressort du dossier. La limitation fonctionnelle de port de charges retenue en lien avec les diagnostics de discarthrose n’est pas justifiée et apparaît faible, compte tenu de l’atteinte à la santé et des douleurs pourtant objectivées par les experts. En ce qui concerne le diagnostic d’arthrose au niveau des doigts, ils retiennent une évolution positive vers la stabilisation lors des accalmies, le soulagement complet des douleurs et la réduction de la maladie grâce à un traitement de fond. Non seulement cette évolution apparaît comme particulièrement optimiste compte tenu des rapports des autres médecins figurant au dossier, des plaintes de la recourante et de l’examen clinique réalisé par la Dresse J______, mais elle n’est pas motivée de manière compréhensible et détaillée. Comme pour les diagnostics de discarthrose, la faible limitation fonctionnelles de port de charges n’est ni motivée, ni vraisemblable, notamment à la lumière des conclusions du Dr M______. S’agissant du volet psychiatrique de l’expertise, le Dr I______ relève que l’auto-questionnaire rempli par la recourante serait évocateur d’un état dépressif sévère. Il relève que ce résultat doit être relativisé, compte tenu de l’effet auto-inducteur de l’expertise et de l’attitude démonstrative de la recourante. Toutefois, on peine à comprendre pourquoi aucun diagnostic psychiatrique n’est retenu, faute d’une motivation suffisante et convaincante. À ce propos, on relèvera que la recourante a séjourné à la Clinique genevoise de Montana du 9 au 24 avril 2013, soit quelques semaines après son examen à la Clinique, et qu’à cette occasion, un trouble anxieux généralisé avec réaction anxio-dépressive a été retenu. De plus, les conclusions relatives à l’absence de diagnostics apparentés au registre des troubles somatoformes, ne sont pas</w:t>
      </w:r>
    </w:p>
    <w:p>
      <w:r>
        <w:t>A/273/2015 - 30/34 - motivées d’une manière particulièrement claire et n’emporte pas la conviction de la chambre de céans. En dernier lieu et d’une manière plus générale, l’ensemble de ce rapport d’expertise est entaché d’un ton inadéquat et d’une absence de neutralité. En effet, la quasi-totalité des plaintes et indications fournies par la recourante est écartée par les experts, en raison de son attitude démonstrative. Si une telle attitude est admise par le Dr G______, elle ne doit pas empêcher les experts de faire preuve d’objectivité et d’évaluer son cas avec justesse. En effet, une exagération de la recourante ne signifie pas pour autant qu’elle ne présente pas d’atteinte à la santé. Or, les experts donnent l’impression de systématiquement chercher des contradictions entre les plaintes de la recourante et leurs constatations, parfois d’une manière contestable et sans une motivation convaincante. À titre d’exemple, on relèvera que les experts font grand cas du fait que la recourante portait deux chaînes autour du cou lors de leur entretien. Selon eux, cela démontrait une capacité à effectuer des gestes fins, ce qui était contradictoire avec le refus de la recourante de serrer la main de la Dresse J______, pour cause de douleurs. Ce point n’est pas pertinent, dans la mesure où le fait qu’elle porte deux chaînes autour du cou ne signifie pas qu’elle les a accrochée elle-même, ce que les experts admettent d’ailleurs en émettant l’hypothèse de l’aide d’une tierce personne. Il apparaît également critiquable que le Dr I______ recommande l’arrêt du suivi de la recourante par le Dr H______, qu’il retienne que la recourante sait ne pas avoir une polyarthrite rhumatoïde et qu’elle mystifie le corps médical. De tels propos reflètent incontestablement un caractère subjectif dont une expertise devrait être dépourvue. Par conséquent, l’expertise de la Clinique Corela doit se voir nier toute valeur probante. cc) Le rapport du 4 septembre 2013 du Dr M______ du SMR aborde l’état de santé de la recourante sous un angle exclusivement rhumatologique. Ce médecin a également recommandé la mise en œuvre d’un examen psychiatrique complémentaire, suspectant la présence d’un syndrome somatoforme douloureux persistant. Dans la mesure où l’expertise de la Clinique Corela s’est vue nier toute valeur probante et où l’intimé n’a pas suivi les recommandations du Dr M______, le rapport de ce dernier n’est pas suffisant pour évaluer l’état de santé de la recourante. En effet, il ressort très clairement du dossier que l’instruction médicale de son cas doit porter sur un volet rhumatologique et psychiatrique, afin de connaître précisément les atteintes invalidantes à la santé de la recourante et les éventuelles interactions qui existent entre celles. En particulier, la possibilité d’un syndrome somatoforme douloureux persistant doit être investiguée, à la lumière de la nouvelle jurisprudence du Tribunal fédéral développée dans les considérants précédents (arrêt du Tribunal fédéral 9C_492/2014 du 3 juin 2015).</w:t>
      </w:r>
    </w:p>
    <w:p>
      <w:r>
        <w:t>A/273/2015 - 31/34 - Faute d’une analyse de l’état de santé de la recourante dans son ensemble, la chambre de céans n’est pas en mesure de déterminer si le rapport du Dr M______ doit se voir reconnaître une valeur probante. dd) Dans la mesure où le rapport du 23 octobre 2014 de la Dresse P______ est exclusivement fondé sur les deux documents précédents, il convient de lui nier également toute valeur probante. Pour le surplus, on notera qu’il est contradictoire de se fonder sur ces deux documents, alors même qu’ils se contredisent sur plusieurs points essentiels, notamment en ce qui concerne les diagnostics, les limitations fonctionnelles et la capacité de travail.</w:t>
      </w:r>
    </w:p>
    <w:p>
      <w:r>
        <w:rPr>
          <w:b/>
        </w:rPr>
        <w:t>E. 15</w:t>
      </w:r>
    </w:p>
    <w:p>
      <w:r>
        <w:t>Mentionner globalement les conséquences des divers diagnostics retenus sur la capacité de travail de la recourante, en pourcent, a) dans l’activité habituelle ; b) dans une activité adaptée aux limitations fonctionnelles.</w:t>
      </w:r>
    </w:p>
    <w:p>
      <w:r>
        <w:rPr>
          <w:b/>
        </w:rPr>
        <w:t>E. 16</w:t>
      </w:r>
    </w:p>
    <w:p>
      <w:r>
        <w:t>Dater la survenance de l’incapacité de travail durable, le cas échéant, indiquer l'évolution de son taux et décrire précisément son évolution.</w:t>
      </w:r>
    </w:p>
    <w:p>
      <w:r>
        <w:rPr>
          <w:b/>
        </w:rPr>
        <w:t>E. 17</w:t>
      </w:r>
    </w:p>
    <w:p>
      <w:r>
        <w:t>Évaluer l'exigibilité, en pourcent, d'une activité lucrative adaptée aux limitations fonctionnelles et indiquer depuis quand une telle activité est exigible et quel est le domaine d'activité.</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S'agissant plus particulièrement des troubles psychiques, répondre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w:t>
      </w:r>
    </w:p>
    <w:p>
      <w:r>
        <w:t>A/273/2015 - 34/34 -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 recourante dispose-t-elle ? e) Quel est le contexte social ? La recourante peut-elle compter sur le soutien de ses proches ? f) Pour le cas où il y aurait refus ou mauvaise acceptation d’une thérapie recommandée et accessible : cette attitude doit-elle être attribuée à une incapacité de la recourante à reconnaître sa maladie ? g) Dans l’ensemble, le comportement de la recourante vous semble-t-il cohérent ? Pourquoi ?</w:t>
      </w:r>
    </w:p>
    <w:p>
      <w:r>
        <w:rPr>
          <w:b/>
        </w:rPr>
        <w:t>E. 21</w:t>
      </w:r>
    </w:p>
    <w:p>
      <w:r>
        <w:t>Commenter et discuter les avis médicaux du SMR, des experts s’étant déjà prononcés et des médecins traitants et indiquer - cas échéant - pour quelles raisons ces avis sont confirmés ou écartés.</w:t>
      </w:r>
    </w:p>
    <w:p>
      <w:r>
        <w:rPr>
          <w:b/>
        </w:rPr>
        <w:t>E. 22</w:t>
      </w:r>
    </w:p>
    <w:p>
      <w:r>
        <w:t>Formuler un pronostic global.</w:t>
      </w:r>
    </w:p>
    <w:p>
      <w:r>
        <w:rPr>
          <w:b/>
        </w:rPr>
        <w:t>E. 23</w:t>
      </w:r>
    </w:p>
    <w:p>
      <w:r>
        <w:t>Toute remarque utile et proposition des experts. 5. Invite les experts à faire une appréciation consensuelle du cas s’agissant de toutes les problématiques ayant des interférences entre-elles, notamment l’appréciation de la capacité de travail résiduelle. 6. Invite les experts à déposer à leur meilleure convenance un rapport en trois exemplaires à la chambre de céans. 7.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