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ATAS/884/2013 vom 10. September 2013</w:t>
      </w:r>
    </w:p>
    <w:p>
      <w:r>
        <w:t>GE Cour de justice, 2013-09-10, FR</w:t>
      </w:r>
    </w:p>
    <w:p>
      <w:r>
        <w:rPr>
          <w:b/>
        </w:rPr>
        <w:t xml:space="preserve">Quelle: </w:t>
      </w:r>
      <w:r>
        <w:t>https://mcp.opencaselaw.ch/entscheid/ge_gerichte_ATAS_884_2013</w:t>
      </w:r>
    </w:p>
    <w:p>
      <w:r>
        <w:t>FR: GE_GERICHTE ATAS/884/2013 du 10 septembre 2013</w:t>
      </w:r>
    </w:p>
    <w:p>
      <w:r>
        <w:t>IT: GE_GERICHTE ATAS/884/2013 del 10 settembre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A/2475/2013 - 5/8 -</w:t>
      </w:r>
    </w:p>
    <w:p>
      <w:r>
        <w:rPr>
          <w:b/>
        </w:rPr>
        <w:t>E. 3</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l'aggravation de l'état de santé et l’évaluation de la capacité de travail de l'assuré comme facteur ainsi que sur son degré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a) Pour pouvoir calculer le degré d'invalidité, l'administration ou l'instance de recours a tout d’abord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w:t>
      </w:r>
    </w:p>
    <w:p>
      <w:r>
        <w:t>A/2475/2013 - 6/8 - exprimées, qu’il ait été établi en pleine connaissance du dossier (anamnèse), que la description des interférences médicales soit claire et enfin que les conclusions de l’expert soient bien motivées (ATF 125 V 351, consid. 3; ATF 122 V 157, consid. 1c).</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rPr>
          <w:b/>
        </w:rPr>
        <w:t>E. 9</w:t>
      </w:r>
    </w:p>
    <w:p>
      <w:r>
        <w:t>En l’espèce, lors de la décision du 23 juillet 2013, l'OAI n'avait pas eu connaissance des divers rapports médicaux produits par l'assuré à l'appui de son recours et qui attestent, d'une part, d'atteintes au genou et d'autre part, de séquelles consécutives à l'agression de 2008. Ainsi, en se fondant sur le seul rapport médical en sa possession, indiquant que l'aggravation de la myopie restait sans influence sur la capacité de travail de l'assuré, l'OAI n'a pas statué en toute connaissance de cause. C'est ainsi à juste titre que l'intimé conclut au renvoi du dossier pour procéder à une</w:t>
      </w:r>
    </w:p>
    <w:p>
      <w:r>
        <w:t>A/2475/2013 - 7/8 - instruction médicale complémentaire, qui devra porter sur les aspects somatiques et psychiatriques. A noter que lors de l'octroi d'une demi-rente d'invalidité, le SMR avait relevé que la capacité de travail était au maximum de 50% compte tenu du fait que l'assuré pouvait travailler dans un milieu très compréhensif, qualifié de quasi protégé par l'expert psychiatre. Or, cet employeur a fini par licencier l'assuré après une année de totale incapacité de travail depuis mai 2012. Le renvoi de la cause, plutôt qu'une instruction médicale effectuée par la Cour de céans, se justifie aussi du fait qu'en fonction du caractère invalidant ou non des diverses atteintes à la santé, en plus de l'atteinte psychiatrique déjà retenue en 2006, l'OAI devra aussi se prononcer sur la capacité résiduelle dans l'activité habituelle et, à défaut, fixer la capacité dans une activité adaptée et déterminer le taux d'invalidité en tenant compte de toutes les circonstances du cas d'espèce.</w:t>
      </w:r>
    </w:p>
    <w:p>
      <w:r>
        <w:rPr>
          <w:b/>
        </w:rPr>
        <w:t>E. 10</w:t>
      </w:r>
    </w:p>
    <w:p>
      <w:r>
        <w:t>Le recours est ainsi partiellement admis, la décision du 23 juillet 2013 est annulée et la cause est renvoyée à l'OAI pour instruction complémentaire dans le sens des considérants. Par contre, dans la mesure où l'OAI a statué sur la base des renseignements fournis et que l'on ne peut pas lui faire grief de ne pas avoir tenu compte de rapports inconnus, il sera renoncé à la perception d'un émolument.</w:t>
      </w:r>
    </w:p>
    <w:p>
      <w:r>
        <w:t>A/2475/2013 - 8/8 -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