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ATAS/883/2024 vom 12. November 2024</w:t>
      </w:r>
    </w:p>
    <w:p>
      <w:r>
        <w:t>GE Cour de justice, 2024-11-12, FR</w:t>
      </w:r>
    </w:p>
    <w:p>
      <w:r>
        <w:rPr>
          <w:b/>
        </w:rPr>
        <w:t xml:space="preserve">Quelle: </w:t>
      </w:r>
      <w:r>
        <w:t>https://mcp.opencaselaw.ch/entscheid/ge_gerichte_ATAS_883_2024</w:t>
      </w:r>
    </w:p>
    <w:p>
      <w:r>
        <w:t>FR: GE_GERICHTE ATAS/883/2024 du 12 novembre 2024</w:t>
      </w:r>
    </w:p>
    <w:p>
      <w:r>
        <w:t>IT: GE_GERICHTE ATAS/883/2024 del 12 novembre 2024</w:t>
      </w:r>
    </w:p>
    <w:p>
      <w:pPr>
        <w:pStyle w:val="Heading2"/>
      </w:pPr>
      <w:r>
        <w:t>Erwägungen</w:t>
      </w:r>
    </w:p>
    <w:p>
      <w:r>
        <w:rPr>
          <w:b/>
        </w:rPr>
        <w:t>E. 21</w:t>
      </w:r>
    </w:p>
    <w:p>
      <w:r>
        <w:t>juin 2022, et de 26% à partir du 1er janvier 2024, insuffisants pour ouvrir le droit à une rente. Le droit aux mesures professionnelles était également nié, au vue du large éventail d’activités non qualifiées que recouvrait le secteur de la production et des services, les activités adaptées aux empêchements ne nécessitant pas son intervention. b. En date du 20 mars 2024, l’assurée a contesté l’appréciation médicale de l’OAI, rappelant que le Dr B______ avait conclu à une incapacité totale de travail dans toute activité, que la Dre D______ avait pour sa part fait état d’une petite capacité résiduelle de travail limitée à deux heures par jour. Il était alors incompréhensible que l’OAI ait pu conclure à une capacité de travail de 100% dans une activité adaptée, de manière contraire aux diagnostics de deux éminents spécialistes qui avaient émis un avis similaire. c. Par décision du 25 mars 2024, l’OAI a confirmé son projet de décision, en l’absence de tout élément nouveau lui permettant de revoir son évaluation.</w:t>
      </w:r>
    </w:p>
    <w:p>
      <w:r>
        <w:t>A/1542/2024 - 6/20 - Par acte du 7 mai 2024, la recourante, représentée par un avocat, a interjeté recours auprès de la chambre des assurances sociales de la Cour de justice contre la décision précitée. Elle a conclu, sous suite de frais et dépens, à l’annulation de ladite décision et à l’octroi d’une rente entière d’invalidité. Subsidiairement, elle a sollicité la tenue d’une expertise médicale et l’octroi d’une rente se fondant sur les résultats de cet examen, en fonction du taux d’invalidité reconnu, et à l’octroi de mesures professionnelles. Elle a rappelé que le Dr B______ avait considéré qu’elle souffrait d’une spondylarthrite ankylosante HLBA 27 + et de complications sévères dues à ses multiples accouchements, et qu’elle était en incapacité totale de travail dans toute activité, malgré une motivation excellente. La Dre D______ était arrivée aux mêmes conclusions s’agissant des douleurs et de l’activité habituelle qui ne pouvait plus être exercée, mais avait retenu une petite capacité résiduelle dans un travail adapté ne dépassant pas deux heures par jour. Malgré ces deux avis de spécialistes, qui avaient répondu au questionnaire de l’intimé et qui ne pouvaient en aucun cas être interprétés au vu de leur clarté, le SMR avait conclu à une capacité de travail de 100% dans toute activité et depuis toujours, ce qui ne s’expliquait pas. Il était inconcevable qu’un employeur veuille engager une personne de son âge, rappelant qu’elle aurait 60 ans cette année, sans autre expérience professionnelle que sa formation d’assistante dentaire, avec toutes les contre-indications médicales retenues. Elle n’avait plus travaillé depuis près de 20 ans lorsqu’elle s’était consacrée à l’éducation de ses enfants qui avaient besoin d’elle. Dès lors, sa capacité à se mettre en valeur sur le marché du travail, avec en sus toutes les contraintes retenues par le SMR, était objectivement nulle. b. Dans sa réponse du 5 juin 2024, l’intimé a conclu au rejet du recours. Les médecins traitants de la recourante avaient fait état d’éléments non médicaux susceptibles d’influencer négativement sa capacité de travail, dont un déconditionnement, des difficultés familiales et l’âge. Or, de tels facteurs ne figuraient pas au nombre des atteintes à la santé susceptibles d’entrainer une incapacité de travail au sens de la législation applicable. L’intéressée ne faisait valoir aucun élément concret susceptible de remettre en cause les conclusions du SMR quant à sa capacité de travail. Il a notamment rappelé, s’agissant de l’âge, que le Tribunal fédéral avait admis à de nombreuses reprises que des assurés de plus de 60 ans pouvaient mettre en valeur leur capacité de travail résiduelle, même réduite, dans une nouvelle activité professionnelle. La mise en valeur par la recourante de sa capacité de travail de 100% dans un métier adapté à son état de santé était objectivement exigible et des mesures d’ordre professionnel n’étaient pas indiquées, le marché de travail offrant un éventail suffisamment large d’activités légères, dont un nombre significatif était adapté aux limitations fonctionnelles retenues et accessibles sans aucune formation particulière. Les activités simples, comme des tâches de surveillance, de vérification, de démarchage téléphonique ou encore d’accueil, étaient exigibles au regard des restrictions retenues.</w:t>
      </w:r>
    </w:p>
    <w:p>
      <w:r>
        <w:t>A/1542/2024 - 7/20 - c. Dans sa réplique du 8 juillet 2024, la recourante a persisté dans ses conclusions, déplorant que l’intimé n’ait pas pris en compte ses arguments. La Dre D______ avait procédé à une anamnèse complète du dossier, raison pour laquelle elle avait bien entendu mentionné des facteurs extra-médicaux. Cela étant, elle s’était basée sur des considérations purement médicales pour rendre son appréciation, en particulier s’agissant de la capacité de travail résiduelle. Elle avait expliqué que les douleurs et la raideur matinale entravaient fortement le début de sa journée et la ralentissaient, que les douleurs cervicales et du rachis empêchaient un travail avec la tête penchée en avant longtemps, le tronc en rotation et les bras en position statique prolongée, que les lombalgies ne lui permettaient pas de rester assise trop longtemps et que les gonalgies ne permettaient pas de longs trajets à pied ou une position statique debout prolongée. Le Dr B______ était arrivé aux mêmes conclusions. L’intimé avait donc parfaitement erré dans ses conclusions. Elle a rappelé que le Tribunal fédéral avait considéré que le seuil dès lequel on pouvait parler d’un âge avancé était situé à 60 ans. d. Copie de cette écriture a été transmise à l’intimée le 11 juillet 2024.</w:t>
      </w:r>
    </w:p>
    <w:p>
      <w:r>
        <w:t>EN DROIT</w:t>
      </w:r>
    </w:p>
    <w:p>
      <w:r>
        <w:t>1.</w:t>
      </w:r>
    </w:p>
    <w:p>
      <w:r>
        <w:t>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À teneur de l'art. 1 al. 1 LAI, les dispositions de la LPGA s'appliquent à l'assurance-invalidité, à moins que la loi n'y déroge expressément. 1.3 Le délai de recours est de trente jours (art. 56 LPGA ; art. 62 al. 1 de la de loi sur la procédure administrative du 12 septembre 1985 [LPA - E 5 10]). Conformément aux art. 38 al. 4 let. a LPGA et 89C let. a LPA, les délais en jours ou en mois fixés par la loi ou par l’autorité ne courent pas du 7e jour avant Pâques au 7e jour après Pâques inclusivement. Interjeté dans la forme et le délai prévus par la loi, compte tenu de la suspension précitée, le recours est recevable 2.</w:t>
      </w:r>
    </w:p>
    <w:p>
      <w:r>
        <w:t>A/1542/2024 - 8/20 - 2.1 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c, pour les bénéficiaires de rente dont le droit à la rente a pris naissance avant l'entrée en vigueur de cette modification et qui, à l'entrée en vigueur de la modification, avaient au moins 55 ans, l’ancien droit reste applicable (arrêt du Tribunal fédéral 8C_561/2022 du 4 août 2023 consid. 3.1 et la référence). 2.2 En l’occurrence, un éventuel droit à une rente d’invalidité naîtrait au plus tôt en 2022, dès lors que la demande de prestations a été déposée le 3 juin 2021 et que le délai d’attente d’une année est venu à échéance le 21 juin 2022 (art. 28 al. 1 let. b et 29 al. 1 LAI), ce qui n’est pas remis en cause par la recourante. Partant, les dispositions légales applicables seront citées dans leur nouvelle teneur. 3. Le litige porte sur le droit de la recourante à une rente d’invalidité, singulièrement sur le taux de sa capacité de travail résiduelle dans une activité adaptée. 4. Conformément à l’art. 28 al. 1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4.1 En vertu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t>A/1542/2024 - 9/20 -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L’art. 8 LPGA prévoit qu’est réputée invalidité l’incapacité de gain totale ou partielle qui est présumée permanente ou de longue durée. L’art. 4 LAI précise en outre que l’invalidité peut résulter d’une infirmité congénitale, d’une maladie ou d’un accident. 4.2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cf. arrêt du Tribunal fédéral 8C_43/2023 du 29 novembre 2023 consid. 5.1 et 5.2 et les références). 4.3 Selon l’art. 28a al. 1 LAI, l’évaluation du taux d’invalidité des assurés exerçant une activité lucrative est régie par l’art. 16 LPGA. Le Conseil fédéral</w:t>
      </w:r>
    </w:p>
    <w:p>
      <w:r>
        <w:t>A/1542/2024 - 10/20 - fixe les revenus déterminants pour l’évaluation du taux d’invalidité ainsi que les facteurs de correction applicables. Conformément à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L’art. 25 RAI stipule qu’est réputé revenu au sens de l’art. 16 LPGA le revenu annuel présumable sur lequel les cotisations seraient perçues en vertu de la LAVS, à l’exclusion toutefois des prestations accordées par l’employeur pour compenser des pertes de salaire par suite d’accident ou de maladie entraînant une incapacité de travail dûment prouvée (al. 1 let. a) ; des indemnités de chômage, des allocations pour perte de gain au sens de la LAPG et des indemnités journalières de l’assurance-invalidité (al. 1 let. b). Les revenus déterminants au sens de l’art. 16 LPGA sont établis sur la base de la même période et au regard du marché du travail suisse (al. 2).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(al. 3). Les valeurs statistiques visées à l’al. 3 sont adaptées au temps de travail usuel au sein de l’entreprise selon la division économique ainsi qu’à l’évolution des salaires nominaux (al. 4). 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143 V 295 consid. 2.3 et les références ; 129 V 222 ; 128 V 174). 4.3.1 Selon l’art. 26 RAI, le revenu sans invalidité (art. 16 LPGA) est déterminé en fonction du dernier revenu de l’activité lucrative effectivement réalisé avant la survenance de l’invalidité. Si le revenu réalisé au cours des dernières années précédant la survenance de l’invalidité a subi de fortes variations, il convient de se baser sur un revenu moyen équitable (al. 1). Si le revenu effectivement réalisé ne peut pas être déterminé ou ne peut pas l’être avec suffisamment de précision, le revenu sans invalidité est déterminé sur la base des valeurs statistiques visées à</w:t>
      </w:r>
    </w:p>
    <w:p>
      <w:r>
        <w:t>A/1542/2024 - 11/20 - l’art. 25 al. 3 pour une personne ayant la même formation et une situation professionnelle correspondante (al. 4).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Lorsque la perte de l'emploi est due à des motifs étrangers à l'invalidité, le revenu sans invalidité doit en principe être déterminé par des valeurs moyennes et non par le salaire que l’intéressé aurait réalisé auprès du dernier employeur.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(arrêts du Tribunal fédéral 8C_537/2023 du 17 avril 2024 consid. 4.2.3 et 5.1 et les références ; 9C_500/2020 du 1er mars 2021 consid. 4.1 et les références). 4.3.2 En vertu de l’art. 26bis RAI, 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(al. 1. Si l’assuré ne réalise pas de revenu déterminant, le revenu avec invalidité est déterminé en fonction des valeurs statistiques visées à l’art. 25 al. 3. Pour les assurés visés à l’art. 26 al. 6, des valeurs indépendantes du sexe sont utilisées, en dérogation à l’art. 25 al. 3 (al. 2). Une déduction de 10% est opérée sur la valeur statistique visée à l’al. 2. Si, du fait de l’invalidité, l’assuré ne peut travailler qu’avec une capacité fonctionnelle au sens de l’art. 49 al. 1bis, de 50% ou moins, une déduction de 20% est opérée. Aucune déduction supplémentaire n’est possible (al. 3). En règle générale, il y a lieu de se fonder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w:t>
      </w:r>
    </w:p>
    <w:p>
      <w:r>
        <w:t>A/1542/2024 - 12/20 -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4.3.3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123 V 150 consid. 2 et les références ; arrêt du Tribunal fédéral 8C_337/2009 du 18 février 2010 consid. 7.5). 4.3.4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w:t>
      </w:r>
    </w:p>
    <w:p>
      <w:r>
        <w:t>A/1542/2024 - 13/20 -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146 V 16 consid. 7.1 ; 145 V 2 consid. 5.3.1 ; 138 V 457 consid. 3). Le fait que la capacité résiduelle de travail a été recouvrée à une date antérieure, toutefois sans avoir encore été établie par des documents médicaux fiables, n'est en revanche pas déterminant (arrêt du Tribunal fédéral 8C_305/2023 du 29 février 2024 consid. 5.4). En l'absence d'une capacité de gain résiduelle économiquement exploitable, on est en présence d'une incapacité de gain totale qui ouvre le droit à une rente d'invalidité entière (arrêt du Tribunal fédéral 9C_755/2023 du 20 février 2024 consid. 5.2.2).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 arrêt du Tribunal fédéral I 376/05 du 5 août 2005 consid. 4.2), de même que pour un soudeur de 60 ans avec des limitations psychiques et physiques, notamment rhumatologiques et cardiaques, qui disposait d’une capacité de travail de 70% (arrêt du Tribunal fédéral I 304/06 du 22 janvier 2007 consid. 4.2), tout comme pour un assuré âgé de 62 ans et dix mois qui disposait d’une certaine capacité d’adaptation, étant relevé que le marché du travail offre des activités autres qu’un travail sur écran, telles que le contrôle, la surveillance et la vérification, lesquelles ne nécessitent pas une longue période de formation (arrêt du Tribunal fédéral 9C_755/2023 du 20 février 2024 consid. 5.5 et la référence).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I 392/02 du 23 octobre 2003 consid. 3.3), ainsi que dans le cas d’un assuré de 64 ans capable de travailler à 50% avec de nombreuses limitations fonctionnelles (arrêt du Tribunal fédéral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w:t>
      </w:r>
    </w:p>
    <w:p>
      <w:r>
        <w:t>A/1542/2024 - 14/20 - 4.4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t>A/1542/2024 - 15/20 -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4.5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A/1542/2024 - 16/20 -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 5. En l’espèce, l’intimé a retenu, sur la base de l’avis de la Dre C______ du</w:t>
      </w:r>
    </w:p>
    <w:p>
      <w:r>
        <w:rPr>
          <w:b/>
        </w:rPr>
        <w:t>E. 23</w:t>
      </w:r>
    </w:p>
    <w:p>
      <w:r>
        <w:t>octobre 2023 du SMR peut se voir reconnaître une pleine valeur probante. Elle tiendra donc pour établi, au degré de la vraisemblance prépondérante requis, que la recourante dispose d’une entière capacité de travail dans une activité respectant les limitations fonctionnelles décrites. 5.2 La recourante ne fait valoir aucun argument à l’encontre du calcul du degré d’invalidité. Dans ces conditions, la chambre de céans se limitera à constater que l’intimé a déterminé, à juste titre, le salaire sans invalidité sur la base des données statistiques, dès lors que l’intéressée a arrêté de travailler en 2002 pour s’occuper de ses enfants. Il s’est référé au tableau TA1_tirage_skill_level de l’ESS 2020, ligne 86-88, femme, niveau de compétence 2, ce qui n’apparaît pas critiquable, puisque la recourante dispose d’une formation d’assistante dentaire et a exercé ce</w:t>
      </w:r>
    </w:p>
    <w:p>
      <w:r>
        <w:t>A/1542/2024 - 19/20 - métier durant une quinzaine d’années. Il a en outre dûment tenu compte du temps de travail usuel dans ce secteur et adapté le revenu à l’année de naissance du droit à la rente. S’agissant du salaire avec invalidité, l’intimé a pris en considération la ligne total, femme, niveau de compétence 1 du tableau TA1_tirage_skill_level de l’ESS 2020, ce qui est conforme à la jurisprudence. Il a également adapté le salaire à la durée normale hebdomadaire de travail et à l’année de référence. Enfin, il a appliqué à bon droit une réduction forfaitaire de 10% dès le 1er janvier 2024. Partant, les degrés d’invalidité retenus dans la décision litigieuse, soit 17% dès le 21 juin 2022 et 26% dès le 1er janvier 2024 peuvent être confirmés, ce que l’intéressée ne conteste au demeurant pas. 5.3 La recourante soutient en revanche ne pas pouvoir mettre en valeur sa capacité de travail sur le marché du travail, en raison de son âge, de son manque d’expérience professionnelle autre que sa formation d’assistante dentaire, de ses limitations fonctionnelles et de son éloignement du marché du travail depuis plus de 20 ans. La chambre de céans rappellera que l’intéressée était âgée de 58 ans lorsque la Dre C______ a constaté, par rapport du 23 octobre 2023, qu’elle disposait d’une entière capacité de travail dans une activité adaptée. À cet égard, il sied encore de relever que le SMR avait indiqué, le 17 mai 2022, qu’un bilan rhumatologique était nécessaire et que l’intimé avait demandé à l’intéressée, par courriel du 31 octobre 2022 déjà, si un tel suivi avait été mis en place. La recourante n’a toutefois pas consulté de spécialiste avant le début de l’année 2023, retardant ainsi le moment où le SMR a pu procéder à l’évaluation médicale de sa situation. Compte tenu du fait que la recourante était à sept ans de l’âge ordinaire de la retraite au moment déterminant, que ses limitations fonctionnelles sont compatibles avec de nombreuses activités adaptées légères et sédentaires qui ne requièrent pas de formation ou de reconversion professionnelle, que sa capacité de travail résiduelle est entière, et qu’elle dispose d’une certaine aptitude d’adaptation, étant relevé qu’elle a obtenu un diplôme d’assistante dentaire, a travaillé en cette qualité pendant une quinzaine d’années avant d’être engagée comme secrétaire et qu’elle a travaillé jusqu’en 2002 alors qu’elle avait plusieurs enfants en bas âges, la chambre de céans considère, au vu de la jurisprudence précitée, que l’intéressée est en mesure de retrouver un emploi sur le marché équilibré du travail. 6. Au vu de ce qui précède, le recours sera rejeté et la recourante condamnée au paiement d'un émolument de CHF 200.- (art. 69 al.1bis LAI).</w:t>
      </w:r>
    </w:p>
    <w:p>
      <w:r>
        <w:t>A/1542/2024 - 20/20 -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