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ATAS/883/2023 vom 15. November 2023</w:t>
      </w:r>
    </w:p>
    <w:p>
      <w:r>
        <w:t>GE Cour de justice, 2023-11-15, FR</w:t>
      </w:r>
    </w:p>
    <w:p>
      <w:r>
        <w:rPr>
          <w:b/>
        </w:rPr>
        <w:t xml:space="preserve">Quelle: </w:t>
      </w:r>
      <w:r>
        <w:t>https://mcp.opencaselaw.ch/entscheid/ge_gerichte_ATAS_883_2023</w:t>
      </w:r>
    </w:p>
    <w:p>
      <w:r>
        <w:t>FR: GE_GERICHTE ATAS/883/2023 du 15 novembre 2023</w:t>
      </w:r>
    </w:p>
    <w:p>
      <w:r>
        <w:t>IT: GE_GERICHTE ATAS/883/2023 del 15 novembre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w:t>
      </w:r>
    </w:p>
    <w:p>
      <w:r>
        <w:rPr>
          <w:b/>
        </w:rPr>
        <w:t>E. 3</w:t>
      </w:r>
    </w:p>
    <w:p>
      <w:r>
        <w:t>Le litige porte sur le droit de la recourante à un trois quarts de rente d’invalidité dès décembre 2017 et à une rente de 68.83% dès janvier 2022.</w:t>
      </w:r>
    </w:p>
    <w:p>
      <w:r>
        <w:rPr>
          <w:b/>
        </w:rPr>
        <w:t>E. 4</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5.1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A/2192/2021 - 7/16 -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5.2</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w:t>
      </w:r>
    </w:p>
    <w:p>
      <w:r>
        <w:t>A/2192/2021 - 8/16 -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6.1</w:t>
      </w:r>
    </w:p>
    <w:p>
      <w:r>
        <w:t>Les parties ne contestent pas la valeur probante de l’expertise judiciaire dans sa globalité et il y a lieu de lui reconnaître une valeur probante.</w:t>
      </w:r>
    </w:p>
    <w:p>
      <w:r>
        <w:rPr>
          <w:b/>
        </w:rPr>
        <w:t>E. 6.2.1</w:t>
      </w:r>
    </w:p>
    <w:p>
      <w:r>
        <w:t>L’intimé conteste toutefois la conclusion de l’expert selon laquelle son incapacité de travail de 50% remontait à décembre 2016, au motif que son état s’était aggravé en juin 2022, qu’elle avait repris une activité à 100% entre mai et décembre 2017 et que l’examen clinique relevait des éléments objectifs d’aggravation par rapport à l’expertise de 2021.</w:t>
      </w:r>
    </w:p>
    <w:p>
      <w:r>
        <w:rPr>
          <w:b/>
        </w:rPr>
        <w:t>E. 6.3</w:t>
      </w:r>
    </w:p>
    <w:p>
      <w:r>
        <w:t>La recourante rejoint pour sa part les conclusions de l’expert, faisant valoir que son état de santé s’était déjà notamment aggravé en 2017 en raison de l’activité non adaptée qu’elle avait exercée cette année-là et non seulement depuis juin 2022. En l’occurrence, il était établi par l’expertise que son état de santé ne lui permettait plus de travailler dans son activité habituelle de sage-femme dès décembre 2016 et que sa capacité de travail résiduelle était de 50% dès cette date.</w:t>
      </w:r>
    </w:p>
    <w:p>
      <w:r>
        <w:rPr>
          <w:b/>
        </w:rPr>
        <w:t>E. 6.4</w:t>
      </w:r>
    </w:p>
    <w:p>
      <w:r>
        <w:t>En page 15 de son rapport, l’expert a conclu que la capacité de travail de la recourante était de 0% dans son travail de sage-femme ou dans tout autre travail sortant du cadre des limitations fonctionnelles et qu’elle était de 50% dans une activité adaptée, par exemple en home office, depuis décembre 2016. En page 17 de son rapport, l’expert, questionné sur l’évolution de la capacité travail de la recourante depuis 2016, a indiqué qu’elle avait été totalement incapable de travailler en tant que sage-femme depuis décembre 2016. Elle avait pu effectuer un travail comme assistante médicale à 100% de mai à décembre 2017, mais les trajets entre les deux sites ainsi que l’impossibilité de libérer des plages de repos et d’activités physiques adaptées régulières avaient conduit à une décompensation de sa symptomatologie motivant une incapacité de travail à 50% dès décembre 2017.</w:t>
      </w:r>
    </w:p>
    <w:p>
      <w:r>
        <w:t>A/2192/2021 - 9/16 - Contrairement à ce qu’a allégué l’intimé, il apparaît correct de considérer que la recourante n’était déjà pas capable de travailler à 100% de mai à décembre 2017, même si l’activité qu’elle a effectivement exercée pendant cette période était à temps plein, dès lors qu’elle ne l’a pas supportée et que cela a conduit à un arrêt de travail à 50%. La conclusion de l’expert est notamment fondée sur un rapport du Dr B______ du 21 mai 2019, qui retenait une capacité de travail de 50% dans une activité adaptée dès décembre 2016, soit depuis le début du suivi de la recourante. Il faut également relever qu’en janvier 2017, le Dr C______ a estimé à 80% la capacité de travail de la recourante dans une activité, ce qui corrobore le fait qu’en décembre 2016, elle pouvait déjà avoir une certaine capacité de travail dans une telle activité. S’agit de son pourcentage, ce rapport établi par un médecin interne et peu motivé ne remet pas sérieusement en cause les conclusions de l’expert judiciaire. Le rapport établi le 20 août 2019 par la Dre D______, qui estimait que l’assurée était en incapacité de travail à 50% dès le 4 décembre 2017, n’est pas déterminant, dès lors ce médecin ne suivait pas la recourante en décembre 2016 et qu’elle ne s’est pas prononcée pour le passé. En conclusion, l’appréciation de l’expert sur le début de la capacité de travail de la recourante dans une activité adaptée est convaincante et il convient de s’en tenir à cette date.</w:t>
      </w:r>
    </w:p>
    <w:p>
      <w:r>
        <w:rPr>
          <w:b/>
        </w:rPr>
        <w:t>E. 7.1.1</w:t>
      </w:r>
    </w:p>
    <w:p>
      <w:r>
        <w:t>Selon la recourante, il convient calculer le taux d’invalidité de la façon suivante : - gain sans invalidité : CHF 93'869.- - gain avec invalidité : CHF 29'250.- (soit CHF 39'000.- correspondant à son salaire effectif chez son mari en 2019, 2020 et 2021 x 75%) - différence : CHF 64'619.- = 68.83% Il était établi qu’actuellement, elle pouvait aménager son emploi du temps à sa guise parce qu’elle travaillait pour le compte de son mari. Compte tenu des limitations fonctionnelles et de l’aménagement d’horaire nécessaire, son rendement ne correspondait donc pas à un 50%, mais plutôt à 75% d’un 50% (soit 3 heures par jour au lieu de 4, ce que la recourante proposait de prouver par l’audition de son mari. Une partie de son salaire (25%) devait être considérée comme un salaire social dont il n’y avait pas lieu de tenir compte dans le calcul du taux d’invalidité.</w:t>
      </w:r>
    </w:p>
    <w:p>
      <w:r>
        <w:t>A/2192/2021 - 10/16 - La recourante avait droit à un trois quarts de rente de décembre 2017 à décembre 2019, puis à une rente de 68.83% dès janvier 2022, en raison des modifications de la LAI.</w:t>
      </w:r>
    </w:p>
    <w:p>
      <w:r>
        <w:rPr>
          <w:b/>
        </w:rPr>
        <w:t>E. 7.1.2</w:t>
      </w:r>
    </w:p>
    <w:p>
      <w:r>
        <w:t>Dans sa décision du 26 mai 2021, l’intimé a pris en compte pour fixer le taux d’invalidité comme revenu sans invalidité CHF 93'869.-, en se fondant sur le salaire qu’aurait touché la recourante en qualité de sage-femme pour la clinique générale Beaulieu en 2014, selon le questionnaire employeur, pris à 100% et valorisé à 2017, et comme revenu avec invalidité CHF 56'710.-, en tenant compte d’une baisse de rendement de 25% et du fait qu’elle travaillait actuellement à 50% pour un bureau d’avocat, sur la base des ESS 2016, TA1_tirage_skill_level (privé) pour une femme exerçant dans le domaine de travail correspondant à la ligne 69- 75 (activité spécialisée, scientifiques et techniques), dans une activité de niveau 2, en raison des compétences acquises durant son parcours professionnel et dans une gamme proche du salaire perçu dans son poste actuel, soit CHF 75'335.- à plein temps en 2017, selon la note sur la détermination du degré d’invalidité du 21 juillet 2020.</w:t>
      </w:r>
    </w:p>
    <w:p>
      <w:r>
        <w:rPr>
          <w:b/>
        </w:rPr>
        <w:t>E. 7.2.1</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7.2.2</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w:t>
      </w:r>
    </w:p>
    <w:p>
      <w:r>
        <w:t>A/2192/2021 - 11/16 -</w:t>
      </w:r>
    </w:p>
    <w:p>
      <w:r>
        <w:rPr>
          <w:b/>
        </w:rPr>
        <w:t>E. 7.2.3</w:t>
      </w:r>
    </w:p>
    <w:p>
      <w:r>
        <w:t>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 arrêt du Tribunal fédéral 9C_869/2017 du 4 mai 2018 consid. 2.2).</w:t>
      </w:r>
    </w:p>
    <w:p>
      <w:r>
        <w:rPr>
          <w:b/>
        </w:rPr>
        <w:t>E. 7.2.4</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135 V 297 consid. 5.2 et les références). Dans ce cas, il convient de se fonder, en règle générale, sur les salaires mensuels indiqués dans la table TA1 de l’ESS, à la ligne « total secteur privé » (ATF 124 V 321 consid. 3b/aa), étant précisé que, depuis l'ESS 2012, il y a lieu d'appliquer le tableau TA1_skill_ level (ATF 142 V 178).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Dans un arrêt 8C_226/2021 consid. 6.2 du 4 octobre 2021, le Tribunal fédéral a retenu, s’agissant d’une assurée ne pouvait plus exercer son activité habituelle d’aide-soignante, respectivement d’assistante en soins et santé communautaire, pour laquelle elle disposait d’une formation complète, que rien au dossier n’indiquait qu’elle aurait, durant ses années d’activité, assuré des tâches administratives ou logistiques outrepassant largement l’administration de soins.</w:t>
      </w:r>
    </w:p>
    <w:p>
      <w:r>
        <w:t>A/2192/2021 - 12/16 - En outre, les éventuelles compétences que l’assurée aurait acquises sur le plan administratif ne pouvaient manifestement pas remplacer une formation commerciale ou bureautique. Dans ce contexte, le Tribunal fédéral avait déjà eu l’occasion de préciser, à propos d’une infirmière qui ne pouvait plus exercer son activité habituelle et ne disposait pas de compétences professionnelles transposables dans un autre domaine, qu’il convenait de se référer au niveau de compétence 1 pour déterminer le revenu d’invalide (arrêt du Tribunal fédéral 8C_226/2021 du 4 octobre 2021 consid. 3.3.2). Ses limitations fonctionnelles ne présentaient pas de contraintes majeures ou de spécificités telles qu’elles seraient incompatibles avec le large éventail d’activités légères du niveau de compétence 1 sur un marché équilibré du travail (sur cette notion, cf. arrêts 8C_240/2021 consid. 3; 9C_597/2018 du 18 janvier 2019 consid. 5.2 et les arrêts cités).</w:t>
      </w:r>
    </w:p>
    <w:p>
      <w:r>
        <w:rPr>
          <w:b/>
        </w:rPr>
        <w:t>E. 7.2.5</w:t>
      </w:r>
    </w:p>
    <w:p>
      <w:r>
        <w:t>Selon la doctrine, l'art. 25 al. 1 let. b RAI exclut la prise en compte, à titre de revenus, des éléments de salaire dont il est prouvé que l'assuré ne peut fournir la contrepartie parce que sa capacité de travail limitée ne lui permet pas. C'est ce que l'on nomme « salaire social ». Il y a salaire social lorsque les prestations versées par l'employeur ne correspondent pas au rendement de l'assuré. Dans ce cas, ce dernier poursuit régulièrement son activité, mais il ne peut fournir, en raison de l'atteinte à la santé, qu'une prestation réduite du point de vue quantitatif ou qualitatif. Il convient alors de ne prendre en compte, à titre de revenus, que la part du salaire qui correspond à sa capacité de travail. Les montants qui dépassent cette part sont considérés comme un salaire social alors même que des cotisations en auraient été déduites. L'existence d'un salaire social doit être strictement prouvée dans la mesure où, en règle générale, il y a lieu de présumer que le salaire effectif correspond à la valeur du travail fourni. En effet, un employeur pourrait avoir intérêt à l'admission d'un salaire social pour pouvoir ensuite diminuer le salaire de l'assuré mis au bénéfice d'une rente. Pour admettre l'existence d'un salaire social, les renseignements de l'employeur doivent donc en principe concorder parfaitement avec ceux du rapport médical. S'il est démontré sans conteste que ce dernier rémunère un employé dont le rendement est infime ou nul, le droit à la rente peut, le cas échéant, naître aux conditions des art. 28 et 29 LAI. Il ne s'éteint pas si l'employeur continue de verser un salaire social après son octroi (Michel VALTERIO, Commentaire de la loi fédérale sur l'assurance-invalidité des [LAI], Schulthess Editions romandes 2018 ad art. 28a n 26 p. 410sv et réf. citées). La preuve de l’existence d’un salaire dit « social » est soumise à des exigences sévères, parce que, selon la jurisprudence, l’on doit partir du principe que les salaires payés équivalent normalement à une prestation de travail correspondante (ATF 141 V 351 consid. 4.2 ; ATF 117 V 8 consid. 2c/aa). Les informations fournies par l'employeur doivent être évaluées de manière critique, car il se peut qu'il ait un intérêt propre à faire valoir un salaire social. La jurisprudence reconnaît notamment comme indices du versement d'un salaire social une longue durée des rapports de travail ou des liens de parenté avec la personne assurée</w:t>
      </w:r>
    </w:p>
    <w:p>
      <w:r>
        <w:t>A/2192/2021 - 13/16 - (arrêt du Tribunal fédéral 8C_655/2021 du 27 juin 2022 consid. 6.4.3 et la référence). Conformément à la Circulaire sur l’invalidité et l’impotence dans l’assurance- invalidité (CIIAI ; valable depuis le 1er janvier 2015, état au 1er juillet 2020), on entend par « salaire social » des prestations versées par l’employeur à l’assuré alors qu’en raison d’une capacité de travail réduite, celui-ci ne peut manifestement fournir la contrepartie correspondante du point de vue quantitatif ou qualitatif (art. 25 al. 1 let. b, RAI). Si, par exemple, une personne handicapée qui ne peut plus fournir que la moitié de sa prestation au cours d’un horaire normal ou qui ne peut travailler qu’à la demi-journée à une cadence normale, reçoit son salaire habituel correspondant à une journée de travail complète, la moitié de ce salaire sera considérée comme un salaire social (CIIAI ch. 3058). En principe, il y a lieu de présumer que le salaire obtenu correspond au travail fourni. L’expérience montre qu’il est hautement improbable qu’un employeur verse un salaire à un employé invalide pendant plusieurs années sans que ce dernier ne fournisse une prestation (équivalente ou adéquate). Etant donné qu’en principe le salaire payé correspond à la prestation fournie, l’existence d’un salaire social doit être prouvée par des éléments solides. Les preuves sont évaluées compte tenu du fait que l’employeur peut avoir un intérêt à signaler le versement d’un salaire social. Le fait qu’une personne doive, pour des raisons de santé, réduire ou ralentir quelque peu sa prestation n’est pas un motif suffisant pour reconnaître un salaire social lorsque ce changement se situe dans les limites des différences qui n’ont généralement pas d’incidences sur le poste de travail et que l’employeur accepte sans réduction de salaire (CIIAI ch. 3059). Le versement d’un salaire social procède souvent de relations de parenté, d’amitié ou d’affaires entre l’employeur et l’assuré ou sa famille, de la durée du rapport de service ou de la classification dans des classes de salaire fixe. Dans le cas d’un engagement récent ou de courte durée, il n’y a normalement aucune raison d’accorder des prestations sociales bénévoles. Les difficultés inhérentes au démarrage d’une activité, qui entraînent inévitablement – même pour les personnes non invalides – une performance temporairement moins bonne, ne sont pas un argument à l’appui de prestations sociales bénévoles (CIIAI ch. 3060). Le SMR examine si l’incapacité de travail admise médicalement est telle que l’octroi d’un « salaire social » dans la mesure indiquée se justifie (CIIAI ch. 3061).</w:t>
      </w:r>
    </w:p>
    <w:p>
      <w:r>
        <w:rPr>
          <w:b/>
        </w:rPr>
        <w:t>E. 7.3.1</w:t>
      </w:r>
    </w:p>
    <w:p>
      <w:r>
        <w:t>En l’espèce, le taux d’invalidité de la recourante doit être fixé selon l’année de référence 2017, date à laquelle son droit à une rente a pris naissance après le délai de carence d’un an. Les parties s’accordent sur le revenu sans invalidité à prendre en compte pour fixer le taux d’invalidité, soit CHF 93'869.- en 2017.</w:t>
      </w:r>
    </w:p>
    <w:p>
      <w:r>
        <w:rPr>
          <w:b/>
        </w:rPr>
        <w:t>E. 7.3.2</w:t>
      </w:r>
    </w:p>
    <w:p>
      <w:r>
        <w:t>En 2017, la recourante n’avait pas encore commencé à travailler pour son mari, de sorte qu’il n’y pas lieu de prendre en compte son revenu effectif dans cette activité, mais un salaire statistique sur la base de la table TA1 des ESS 2016,</w:t>
      </w:r>
    </w:p>
    <w:p>
      <w:r>
        <w:t>A/2192/2021 - 14/16 - le tableau TA1_skill_ level, pour une femme, en se fondant toujours sur la médiane ou valeur centrale et un niveau de compétence 1. Au vu de la jurisprudence du Tribunal fédéral précitée, il n’y avait pas lieu de faire exception au principe général et de se référer à la ligne 69-75 (activité spécialisée, scientifiques et techniques, dans une activité de niveau 2 comme l’a fait l’intimé (arrêts des 8C_226/2021 du 4 octobre 2021 consid. 6.2 et 8C_226/2021 du 4 octobre 2021 consid. 3.3.2). Le revenu avec invalidité doit ainsi être fixé à CHF 27'391.-, soit 50% de CHF 54'782.60, fixés sur la base des ESS 2016, tableau TA1_skill_ level, valeur centrale, niveau de compétence 1 (CHF 4'363.- x 12, indexés à 2017 [x 2719 /2709]) et en prenant en compte la durée normale de travail hebdomadaire (x 41.7 heures/40). Le taux d’invalidité est ainsi de 70.81%, arrondis à 71% (CHF 93'869.- – CHF 27'391.- x 100 / CHF 93'869.-), ce qui ouvre à la recourante le droit à une rente entière d’invalidité dès le 1er décembre 2017.</w:t>
      </w:r>
    </w:p>
    <w:p>
      <w:r>
        <w:rPr>
          <w:b/>
        </w:rPr>
        <w:t>E. 7.3.3</w:t>
      </w:r>
    </w:p>
    <w:p>
      <w:r>
        <w:t>Dès le 1er août 2018, la recourante a travaillé pour son mari et touché un revenu annuel de CHF 39'000.-. Ce salaire est plus élevé que celui établi sur la base des ESS. Il n’y a toutefois pas lieu de le qualifier de salaire social. En effet, la recourante est en mesure de fournir, certes grâce aux conditions de travail liées à son activité pour son mari, des prestations correspondant du point de vue quantitatif ou qualitatif à celle pour laquelle elle est engagée. Son rendement n’est pas infime ni nul. De plus, dans le cas d’un engagement récent ou de courte durée, il n’y a normalement aucune raison d’accorder des prestations sociales bénévoles. La recourante a d’ailleurs confirmé à la chambre de céans qu’elle arrivait à travailler à 50% pour son mari en faisant des pauses à tout le moins jusqu’à fin mars 2022. Cette date étant postérieure à la décision querellée, il n’y a pas lieu d’en tenir compte dans le cadre du présent litige. Il convient dès lors de recalculer le taux d’invalidité dès août 2018 en tenant compte du salaire effectif de la recourante pour son mari, ce qui donne un taux d’invalidité de 58.65%, en tenant compte du revenu sans invalidité valorisé à 2018 (CHF 94317.80.- – CHF 39'000.- x 100 / CHF 93'869.-), ouvrant à la recourante le droit à une demi-rente entière d’invalidité depuis lors.</w:t>
      </w:r>
    </w:p>
    <w:p>
      <w:r>
        <w:rPr>
          <w:b/>
        </w:rPr>
        <w:t>E. 7.4</w:t>
      </w:r>
    </w:p>
    <w:p>
      <w:r>
        <w:t>Il n’y a pas lieu d’appliquer d’office le nouveau droit et de fixer la rente à un 58%, dès lors qu’il est entré en vigueur après la décision querellée du 26 mai 2021. En effet, selon la let. b al. 1 des dispositions transitoires de la LAI relatives à la modification du 19 juin 2020, les bénéficiaires de rente dont le droit à la rente a pris naissance avant l'entrée en vigueur de cette modification et qui, à l'entrée en vigueur de la modification, ont 30 ans révolus, mais pas encore 55 ans, conservent la quotité de la rente tant que leur taux d'invalidité ne subit pas de modification au</w:t>
      </w:r>
    </w:p>
    <w:p>
      <w:r>
        <w:t>A/2192/2021 - 15/16 - sens de l'art. 17 al. 1 LPGA (cf. arrêt du Tribunal fédéral 9C _499/2022 du 29 juin 2023 consid. 4.1).</w:t>
      </w:r>
    </w:p>
    <w:p>
      <w:r>
        <w:rPr>
          <w:b/>
        </w:rPr>
        <w:t>E. 8</w:t>
      </w:r>
    </w:p>
    <w:p>
      <w:r>
        <w:t>Le recours est ainsi partiellement admis. La décision du 26 mai 2021 sera annulée et il sera dit que la recourante a droit une rente entière d’invalidité dès le 1er décembre 2017 et à une demi-rente dès le 1er août 2018. Les frais de l’expertise judiciaire seront laissés à la charge de l’État, l’intimé n’ayant pas procédé à une instruction présentant des lacunes ou des insuffisances caractérisées (ATF 137 V 210 consid. 4.4.2). La recourante obtenant gain de cause, une indemnité de CHF 4’000.- lui sera accordée à titre de participation à ses frais et dépens (art. 61 let. g LPGA; art. 6 du règlement sur les frais, émoluments et indemnités en matière administrative du 30 juillet 1986 [RFPA - E 5 10.03]). Au vu du sort du recours, il y a lieu de condamner l'intimé au paiement d'un émolument de CHF 500.- (art. 69 al. 1bis LAI).</w:t>
      </w:r>
    </w:p>
    <w:p>
      <w:r>
        <w:t>A/2192/2021 - 16/16 -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