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ATAS/883/2021 vom 25. August 2021</w:t>
      </w:r>
    </w:p>
    <w:p>
      <w:r>
        <w:t>GE Cour de justice, 2021-08-25, FR</w:t>
      </w:r>
    </w:p>
    <w:p>
      <w:r>
        <w:rPr>
          <w:b/>
        </w:rPr>
        <w:t xml:space="preserve">Quelle: </w:t>
      </w:r>
      <w:r>
        <w:t>https://mcp.opencaselaw.ch/entscheid/ge_gerichte_ATAS_883_2021</w:t>
      </w:r>
    </w:p>
    <w:p>
      <w:r>
        <w:t>FR: GE_GERICHTE ATAS/883/2021 du 25 août 2021</w:t>
      </w:r>
    </w:p>
    <w:p>
      <w:r>
        <w:t>IT: GE_GERICHTE ATAS/883/2021 del 25 agosto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w:t>
      </w:r>
    </w:p>
    <w:p>
      <w:r>
        <w:rPr>
          <w:b/>
        </w:rPr>
        <w:t>E. 4</w:t>
      </w:r>
    </w:p>
    <w:p>
      <w:r>
        <w:t>Le délai de recours est de trente jours (art. 56 LPGA; art. 62 al. 1 de la de loi sur la procédure administrative du 12 septembre 1985 [LPA - E 5 10]). Interjeté dans la forme et le délai prévus par la loi, compte tenu de la suspension des délais pendant la période du 18 décembre au 2 janvier inclusivement (art. 38 al. 4 let. c LPGA et art. 89C let. c LPA), le recours est recevable.</w:t>
      </w:r>
    </w:p>
    <w:p>
      <w:r>
        <w:rPr>
          <w:b/>
        </w:rPr>
        <w:t>E. 5</w:t>
      </w:r>
    </w:p>
    <w:p>
      <w:r>
        <w:t>Le litige porte sur le point de savoir si c’est à bon droit que l’intimé a supprimé la rente d’invalidité de la recourante au 30 juin 2019 et a refusé l’octroi de mesures de réadaptation. Il convient de rappeler qu’une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w:t>
      </w:r>
    </w:p>
    <w:p>
      <w:r>
        <w:t>A/181/2020 - 6/11 - la présence d’une incapacité de gain. De plus, il n’y a incapacité de gain que si celle-ci n’est pas objectivement surmontable (al. 2 en vigueur dès le 1er janvier 2008).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w:t>
      </w:r>
    </w:p>
    <w:p>
      <w:r>
        <w:rPr>
          <w:b/>
        </w:rPr>
        <w:t>E. 7</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A/181/2020 - 7/11 -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w:t>
      </w:r>
    </w:p>
    <w:p>
      <w:r>
        <w:t>A/181/2020 - 8/11 -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w:t>
      </w:r>
    </w:p>
    <w:p>
      <w:r>
        <w:rPr>
          <w:b/>
        </w:rPr>
        <w:t>E. 9</w:t>
      </w:r>
    </w:p>
    <w:p>
      <w:r>
        <w:t>a. En l’espèce, il n’est pas contesté que la recourante a été en incapacité de travail totale depuis le 17 juin 2017. Suite à une cure du canal carpien, elle a développé par la suite un syndrome somatoforme douloureux et un mouvement dépressivo- anxieux réactionnel, en raison desquels l’incapacité de travail a perduré. Le Dr C______, médecin traitant, indiquait dans son rapport du 25 avril 2018 que l’incapacité de travail était toujours de 100%, et qu’elle ne pouvait pas revenir dans son milieu de travail que l’on considère comme toxique. Dans une activité adaptée, elle pouvait travailler à 50% ailleurs que dans l’horticulture jusqu’à l’accomplissement d’une formation appropriée. Dans un rapport adressé au médecin traitant le 2 octobre 2017, le Dr D______, rhumatologue, indiquait que l’impression générale était celle d’une fibromyalgie chez une jeune femme anxieuse qui souffrait d’importants troubles du sommeil. Une reprise de travail à 100 % les prochains mois n’apparaissait pas envisageable. Cela étant, la Chambre de céans constate que l’on ne dispose pas de rapport plus récent du Dr D______, ce dernier n’ayant pas répondu à la demande de renseignements de l’intimé. b. Sur le plan psychiatrique, la recourante a été suivie dès le 24 mai 2017 par la Dre E______ qui a confirmé dans son rapport du 23 février 2018 l’incapacité de travail totale, en raison d’un burn out et de troubles de l’adaptation, réactions mixte anxieuse et dépressive (F43.22). La patiente ne pouvait pas imaginer une reprise de travail dans sa profession et encore moins dans la même équipe, car elle avait vécu une ambiance de travail très lourde, avec des remarques et blagues sexistes, vulgaires et intimidantes. En outre, petite et très mince, elle devait soulever des objets lourds. La psychiatre notait que le pronostic pur une réadaptation était bon, mais que la patiente n’était pas encore suffisamment rétablie pour envisager une reprise de travail thérapeutique dans un autre domaine. D’autre part, son état psychologique s’était péjoré suite au décès de sa mère début janvier 2018. Dans son rapport du 17 août 2018, la psychiatre retient cette fois les diagnostics d’épisode dépressif moyen, d’état de stress post-traumatique, de fibromyalgie et de trouble de la personnalité sans précision. La patiente présente une fatigabilité, des difficultés à se concentrer, à planifier et mettre en exécution les tâches prévues et n’a quasiment</w:t>
      </w:r>
    </w:p>
    <w:p>
      <w:r>
        <w:t>A/181/2020 - 9/11 - plus de vie sociale. Au vu de son état, la patiente, qui a une nette préférence pour les médecines naturelles, a accepté l’introduction du Cipralex à partir du 16 août 2018. L’incapacité de travail est toujours de 100%, que ce soit dans son activité d’horticultrice ou dans une activité adaptée.</w:t>
      </w:r>
    </w:p>
    <w:p>
      <w:r>
        <w:rPr>
          <w:b/>
        </w:rPr>
        <w:t>E. 10</w:t>
      </w:r>
    </w:p>
    <w:p>
      <w:r>
        <w:t>La recourante a été examinée le 27 novembre 2018 par le Dr F______, mandaté comme expert par l’assureur perte de gain maladie. Se fondant sur les conclusions du rapport de l’expert du 19 mars 2019, le SMR considère que l’état de santé de la recourante s’est amélioré et que sa capacité de travail est totale depuis la date dudit rapport. La recourante conteste les conclusions dudit rapport, relevant que le Dr F______ n’est pas psychiatre, de sorte qu’il n’est pas à même de poser un diagnostic psychiatrique. En effet, selon le rapport du Dr F______, il retient le diagnostic d’état de stress post-traumatique avec composante anxio-dépressive moyenne. Sur le plan thérapeutique, la recourante prend du Cipralex depuis 3 mois. L’expert fait état d’une communication téléphonique avec la Dre E______ le 11 mars 2019, aux termes duquel la patiente est apte au travail pour son poste actuel ou dans toute autre domaine d’activité à 100%, dès le jour de la communication. La chambre de céans constate que le Dr F______ n’est pas psychiatre, de sorte que ses conclusions sur le plan psychiatrique ne peuvent être suivies. De plus, il se réfère à un entretien téléphonique avec la Dre E______, ce qui n’est pas acceptable, ce d’autant moins que cette dernière ne suivait plus la recourante sur le plan psychiatrique et qu’elle n’a pas rendu de rapport postérieur au 17 août 2018. Pour ces motifs déjà, l’expertise du Dr F______ ne saurait se voir reconnaitre valeur probante. Enfin, il convient de relever que la Dre G______, psychiatre au CAPPI des Eaux- Vives, suit la patiente depuis le 17 février 2019. Dans son rapport du .28 mai 2019, la psychiatre diagnostique une dépression sévère sans symptômes psychotiques et un trouble anxieux généralisé, entraînant une incapacité de travail totale depuis la date de la première consultation le 18 février 2019. Le pronostic sur la capacité de travail est réservé pour au moins 6 mois avec un traitement psychotrope bien conduit. L’intimé relève que la recourante ne bénéficie pas de traitement psychotrope, mais d’un simple traitement par phytothérapie et que l’aggravation décrite semble réactionnelle à l’idée de reprendre le travail. Il considère que l’appréciation de l’exigibilité par la psychiatre est en contradiction avec la reprise d’activité progressive qu’elle préconise. Certes, la recourante prend un traitement de Millepertuis, mais on ignore pour quelles raisons le traitement de Cipralex introduit auparavant par la Dre E______ a été abandonné. La Dre G______ envisageait d’ailleurs l’introduction d’un traitement médicamenteux en cas d’échec du traitement par Millepertuis.</w:t>
      </w:r>
    </w:p>
    <w:p>
      <w:r>
        <w:t>A/181/2020 - 10/11 - Dans la mesure où le rapport d’expertise doit être écarté, une capacité de travail de 100% dès le 19 mars 2019 ne peut être retenue, au regard notamment du rapport psychiatrique de la Dre G______. C’est ainsi à tort que l’intimé a supprimé la rente d’invalidité au 30 juin 2019. On ignore toutefois si un traitement psychotrope a été finalement introduit et quelle a été l’évolution de l’état de santé de la recourante jusqu’au moment de la décision litigieuse. La chambre de céans n’est par conséquent pas en mesure de se prononcer sur l’évolution de l’état de santé de la recourante en 2019 et de ses conséquences sur la capacité de travail, dans l’activité habituelle et/ou dans une autre activité. La question également des limitations dans l’exercice de sa profession doit être clarifiée.</w:t>
      </w:r>
    </w:p>
    <w:p>
      <w:r>
        <w:rPr>
          <w:b/>
        </w:rPr>
        <w:t>E. 11</w:t>
      </w:r>
    </w:p>
    <w:p>
      <w:r>
        <w:t>Au vu de ce qui précède, le recours doit être admis et la cause renvoyée à l’intimé pour instruction complémentaire sous forme d’une expertise psychiatrique et nouvelle décision.</w:t>
      </w:r>
    </w:p>
    <w:p>
      <w:r>
        <w:rPr>
          <w:b/>
        </w:rPr>
        <w:t>E. 12</w:t>
      </w:r>
    </w:p>
    <w:p>
      <w:r>
        <w:t>La recourante obtenant gain de cause, une indemnité de CHF 3'500.- lui sera accordée à titre de participation à ses frais et dépens (art. 61 let. g LPGA; art. 6 du règlement sur les frais, émoluments et indemnités en matière administrative du 30 juillet 1986 [RFPA - E 5 10.03]). Au vu du sort du recours, il y a lieu de condamner l'intimé au paiement d'un émolument de CHF 200.- (art. 69 al. 1bis LAI).</w:t>
      </w:r>
    </w:p>
    <w:p>
      <w:r>
        <w:t>A/181/2020 - 11/11 -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