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ATAS/883/2018 vom 4. Oktober 2018</w:t>
      </w:r>
    </w:p>
    <w:p>
      <w:r>
        <w:t>GE Cour de justice, 2018-10-04, FR</w:t>
      </w:r>
    </w:p>
    <w:p>
      <w:r>
        <w:rPr>
          <w:b/>
        </w:rPr>
        <w:t xml:space="preserve">Quelle: </w:t>
      </w:r>
      <w:r>
        <w:t>https://mcp.opencaselaw.ch/entscheid/ge_gerichte_ATAS_883_2018</w:t>
      </w:r>
    </w:p>
    <w:p>
      <w:r>
        <w:t>FR: GE_GERICHTE ATAS/883/2018 du 4 octobre 2018</w:t>
      </w:r>
    </w:p>
    <w:p>
      <w:r>
        <w:t>IT: GE_GERICHTE ATAS/883/2018 del 4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 Au vu du contenu des écritures de la recourante, ses conclusions à la reconnaissance de son droit aux prestations seront interprétées comme condamnatoires. Elles sont partant recevables, contrairement à des conclusions purement constatatoires, subsidiaires par rapport à une action formatrice (ATF 129 V 289 consid. 2.1 ; arrêt du Tribunal fédéral des assurances B 149/06 du 11 juin 2007 consid. 5.2).</w:t>
      </w:r>
    </w:p>
    <w:p>
      <w:r>
        <w:rPr>
          <w:b/>
        </w:rPr>
        <w:t>E. 4</w:t>
      </w:r>
    </w:p>
    <w:p>
      <w:r>
        <w:t>Le litige porte sur le droit aux prestations de la recourante au-delà du 30 septembre 2011.</w:t>
      </w:r>
    </w:p>
    <w:p>
      <w:r>
        <w:rPr>
          <w:b/>
        </w:rPr>
        <w:t>E. 5</w:t>
      </w:r>
    </w:p>
    <w:p>
      <w:r>
        <w:t>D’après la jurisprudence, une décision par laquelle l’assurance-invalidité accorde une rente d’invalidité avec effet rétroactif et, en même temps, prévoit</w:t>
      </w:r>
    </w:p>
    <w:p>
      <w:r>
        <w:t>A/4545/2017 - 12/19 - l’augmentation, la réduction ou la suppression de cette rente, correspond à une décision de révision au sens de l’art. 17 LPGA (ATF 130 V 343 consid. 3.5.2 et ATF 125 V 413 consid. 2d ; ATFA non publié I 520/05 du 28 décembre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w:t>
      </w:r>
    </w:p>
    <w:p>
      <w:r>
        <w:rPr>
          <w:b/>
        </w:rPr>
        <w:t>E. 6</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A/4545/2017 - 13/19 -</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w:t>
      </w:r>
    </w:p>
    <w:p>
      <w:r>
        <w:t>A/4545/2017 - 14/19 -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w:t>
      </w:r>
    </w:p>
    <w:p>
      <w:r>
        <w:t>A/4545/2017 - 15/19 -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w:t>
      </w:r>
    </w:p>
    <w:p>
      <w:r>
        <w:t>A/4545/2017 - 16/19 -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l’intimé considère que la recourante ne présente aucune atteinte psychique invalidante, de sorte que son droit à une rente entière ne s’étend pas au- delà du 30 septembre 2011. Il fonde sa décision sur l’avis du Dr K______ du 29 mars 2017, lequel s’appuie sur les conclusions des Drs F______ et H______. La recourante soutient quant à elle que sa capacité de travail est nulle en raison de ses troubles psychiques. Elle fonde principalement sa position sur l’expertise de la Dresse J______. b) S’agissant de l’expertise du Dr H______, l’expert a lui-même indiqué que l’état d’intoxication de la recourante lors de ses examens ne lui avait pas permis de déterminer si l’activité habituelle était encore exigible, si des mesures de réadaptations étaient envisageables, si la capacité de travail pouvait être améliorée dans l’activité habituelle et si une activité adaptée était exigible. En l’absence de réponses à ces questions, aucune valeur probante ne peut être attribuée à cette expertise. Le 2 novembre 2015, le SMR a d’ailleurs lui-même admis que ladite expertise ne lui permettait pas de se prononcer sur la capacité de travail de l’assurée, question pourtant centrale dans la détermination du droit à la rente de la</w:t>
      </w:r>
    </w:p>
    <w:p>
      <w:r>
        <w:t>A/4545/2017 - 17/19 - recourante. C’est ce qui l’a conduit à confier une seconde expertise à la Dresse J______. Cela étant, la qualité du travail du Dr H______ ne saurait être remise en question, ce dernier n’a simplement pas été en mesure de réaliser son expertise dans de bonnes conditions. c) Le 29 mars 2017, le Dr K______ s’est écarté des conclusions de la Dresse J______ au motif, notamment, que les précédents experts n’avaient jamais considéré le trouble de la personnalité de la recourante comme suffisamment sévère pour justifier une incapacité de travail. Le Dr K______ ne saurait être suivi dans la mesure où les précédents experts auxquels il fait référence sont les Drs F______ et H______, dont la valeur probante des rapports a été niée par la Chambre de céans (cf. arrêt du 13 février 2014 [ATAS/194/2014] consid. 11c et supra). En outre, la pauvreté de la motivation du Dr K______ est à relever, de même que le caractère peu convaincant de ses conclusions : le Dr K______ admet la sévérité du trouble de la personnalité de la recourante, tout en affirmant que son incapacité de travail est uniquement due à sa dépendance, sans plus d’explications. On relèvera encore qu’à la lumière de la jurisprudence en matière de dépendance, le fait que le trouble de la personnalité et la dépendance soient étroitement intriqués ne permet pas de retenir de facto que le trouble de la personnalité n’est pas invalidant. Compte tenu de ces éléments, l’avis émis le 29 mars 2017 par le Dr K______ ne peut se voir reconnaître la moindre valeur. d) L’expertise de la Dresse J______, elle, se fonde sur une étude du dossier, un examen clinique de la recourante, une conversation téléphonique avec cette dernière, ainsi qu’une conversation téléphonique avec le Dr B______. L’experte a rappelé le contexte de l’expertise, résumé le dossier médical, établi l’anamnèse de la recourante et le déroulement de son quotidien, exposé ses plaintes, fait état de ses constatations objectives et des informations fournies par le médecin traitant, avant de poser ses diagnostics et de livrer son appréciation du cas. Les diagnostics retenus sont clairs et particulièrement bien motivés, sur la base de l’examen clinique et de l’anamnèse de la recourante. Ils sont en outre concordants avec ceux retenus par le Dr B______ et, dans une certaine mesure, avec ceux du Dr H______. Les limitations fonctionnelles qu’ils impliquent et leurs conséquences sur la capacité de travail sont motivées de manière détaillée, complète et convaincante. Dans le cadre de la discussion du cas, l’experte a pris soin d’étayer son argumentation, en particulier en ce qui concerne les conséquences du trouble de la personnalité borderline et de la dépendance sur la capacité de travail. Certes, la Dresse J______ a-t-elle relevé que la recourante lui avait avoué une consommation journalière d’alcool et de toxiques. Lors de l’établissement de l’anamnèse professionnelle, l’intéressée s’est montrée confuse et s’est contredite à</w:t>
      </w:r>
    </w:p>
    <w:p>
      <w:r>
        <w:t>A/4545/2017 - 18/19 - de nombreuses reprises. L’experte a également renoncé à procéder à un bilan neuropsychologique, en raison des quantités de substances toxiques consommées quotidiennement. Cela étant, contrairement au Dr H______, la Dresse J______ n’a relevé aucun signe d’imprégnation de substances toxiques, ni indiqué que l’état ou le comportement de la recourante l’avait empêchée de mener à bien sa mission d’expertise. De plus, grâce aux éléments figurant au dossier, l’experte a été en mesure de palier à la confusion et aux contradictions de la recourante lors de l’établissement de l’anamnèse. Il ressort également des explications de l’experte que le trouble de la personnalité émotionnellement labile type borderline est à l’origine de la dépendance et non l’inverse, ce que le Dr H______ avait également admis. Il apparaît que la recourante est entrée dans une sorte de cercle vicieux, son trouble de la personnalité l’entraînant dans la dépendance à plusieurs substances toxiques, ladite dépendance aggravant son état psychique, notamment son trouble de la personnalité, et réduisant très fortement ses chances de sevrage. On ajoutera encore que le fait que la quantité de toxiques consommés par la recourante ait empêché l’experte de déterminer si le trouble anxieux a une incidence sur la capacité de travail est sans incidence sur l’issue du litige, le trouble de la personnalité et la dépendance entraînant à eux seuls une incapacité totale de travail dans toute activité. e) Compte tenu de ce qui précède, la Chambre de céans n’a aucune raison de s’écarter des conclusions de la Dresse J______. Sur le plan psychique, la capacité de travail de la recourante doit donc être considérée comme nulle dans toute activité depuis le 12 janvier 2009, de sorte que le droit de la recourante à une rente entière d’invalidité s’étend au-delà du 30 septembre 2011.</w:t>
      </w:r>
    </w:p>
    <w:p>
      <w:r>
        <w:rPr>
          <w:b/>
        </w:rPr>
        <w:t>E. 13</w:t>
      </w:r>
    </w:p>
    <w:p>
      <w:r>
        <w:t>Au vu de ce qui précède, le recours est admis et la décision du 13 octobre 2017 réformée dans le sens que la recourante a droit à une rente entière d’invalidité à compter du 1er octobre 2011. La recourante obtenant gain de cause, une indemnité de CHF 3’000.-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A/4545/2017 - 19/19 -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