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ATAS/882/2022 vom 29. September 2022</w:t>
      </w:r>
    </w:p>
    <w:p>
      <w:r>
        <w:t>GE Cour de justice, 2022-09-29, FR</w:t>
      </w:r>
    </w:p>
    <w:p>
      <w:r>
        <w:rPr>
          <w:b/>
        </w:rPr>
        <w:t xml:space="preserve">Quelle: </w:t>
      </w:r>
      <w:r>
        <w:t>https://mcp.opencaselaw.ch/entscheid/ge_gerichte_ATAS_882_2022</w:t>
      </w:r>
    </w:p>
    <w:p>
      <w:r>
        <w:t>FR: GE_GERICHTE ATAS/882/2022 du 29 septembre 2022</w:t>
      </w:r>
    </w:p>
    <w:p>
      <w:r>
        <w:t>IT: GE_GERICHTE ATAS/882/2022 del 29 settembre 2022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 RS 832.20).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w:t>
      </w:r>
    </w:p>
    <w:p>
      <w:r>
        <w:rPr>
          <w:b/>
        </w:rPr>
        <w:t>E. 3</w:t>
      </w:r>
    </w:p>
    <w:p>
      <w:r>
        <w:t>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w:t>
      </w:r>
    </w:p>
    <w:p>
      <w:r>
        <w:t>A/2598/2022 - 6/8 -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ATF 117 Ia 117 consid. 3a et 197 consid. 1c ; arrêts du Tribunal fédéral des assurances I 819/02 du 23 avril 2003 consid. 2.1 et C 53/01 du 30 avril 2001 consid. 2).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w:t>
      </w:r>
    </w:p>
    <w:p>
      <w:r>
        <w:rPr>
          <w:b/>
        </w:rPr>
        <w:t>E. 4</w:t>
      </w:r>
    </w:p>
    <w:p>
      <w:r>
        <w:t>En l’occurrence, l'intimée reconnaît d'emblée qu'il y a bel et bien eu violation du principe de célérité et conclut à l'admission du recours. Tel est effectivement le cas, étant rappelé que l'accident est survenu le 24 août 2021, que le conseil de l'assuré a saisi l'intimée en septembre 2021 et que près d'une année s'est dès lors écoulée depuis les faits. Certes, l'employeur a mis plusieurs mois à communiquer une déclaration d'accident erronée, mais cela ne justifie pas le délai écoulé pour traiter d'un sinistre somme toute relativement simple dans ses conséquences médicales, comme en convient l'intimée elle-même (plaie suturée et fracture du nez). Le déni de justice – au demeurant non contesté – est donc constaté. Cela étant, l'intimée conclut à ce que, contrairement aux conclusions du recourant, la cause lui soit renvoyée non pour qu’une décision soit rendue dans un délai de</w:t>
      </w:r>
    </w:p>
    <w:p>
      <w:r>
        <w:t>A/2598/2022 - 7/8 - 10 jours dès le prononcé de l’arrêt, mais pour poursuivre l’instruction puis rendre une décision s’agissant de l’indemnité journalière. À cet égard, elle fait valoir que les éléments permettant de reconnaître une indemnisation sur la base d’un taux d’activité de 100% sont ténus, voire inexistants. En effet, le recourant renvoie à des courriels de son ex-employeur des 23 et 30 mars 2022 dans lesquels celui-ci ne fait qu’indiquer être extrêmement surpris que cette question ne soit toujours pas réglée. Si M. A______ suggère certes que le taux d’activité annoncé était erroné, il ne confirme pas que celui-ci était bien de 100%. Au surplus, s’agissant d’un travailleur au noir, il n’y a ni contrat de travail, ni fiche de salaire, ni virement bancaire ou récépissé prouvant une quelconque activité. La SUVA argue qu’elle se trouve dès lors dans une situation où elle ne saurait se déterminer de manière définitive sur le montant de l’indemnité journalière, faute d’éléments suffisamment probants permettant d’établir le taux d’activité de l’assuré au jour de l’accident. Elle annonce par ailleurs rester dans l’attente de documents de la part de l’ex-employeur (contrat de travail, fiches de salaire, relevés bancaires ou quittances de paiement du salaire). La Cour de céans constate cependant que figure aussi au dossier des notes téléphoniques prises suite à des conversations avec le conseil de l'employeur et dont il ressort que la SUVA estimait alors avoir suffisamment d'éléments pour admettre un taux d'occupation de 100%. Dans ces conditions, et au vu de l'importance du temps écoulé dans un dossier médicalement simple, s'il se justifie de s'écarter des conclusions du recourant - un délai de 10 jours apparaissant manifestement trop court -, un délai sera néanmoins imparti à l'intimée pour statuer, étant rappelé que, si cette dernière considère n'avoir pas les éléments suffisants pour faire droit aux prétentions de l'assuré, il lui est loisible de rendre une décision déboutant celui-ci, que l'intéressé pourra au moins contester par la voie de l'opposition.</w:t>
      </w:r>
    </w:p>
    <w:p>
      <w:r>
        <w:rPr>
          <w:b/>
        </w:rPr>
        <w:t>E. 5</w:t>
      </w:r>
    </w:p>
    <w:p>
      <w:r>
        <w:t>Au vu de ce qui précède, le recours est admis. Le recourant obtenant gain de cause, une indemnité de CHF 1'500.- lui est accordée à titre de participation à ses frais et dépens (art. 61 let. g LPGA ; art. 6 du règlement sur les frais, émoluments et indemnités en matière administrative du 30 juillet 1986 [RFPA - E 5 10.03]). Pour le surplus, la procédure est gratuite (art. 61 let. a LPGA).</w:t>
      </w:r>
    </w:p>
    <w:p>
      <w:r>
        <w:t>A/2598/2022 - 8/8 -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