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ATAS/882/2010 vom 31. August 2010</w:t>
      </w:r>
    </w:p>
    <w:p>
      <w:r>
        <w:t>GE Cour de justice, 2010-08-31, FR</w:t>
      </w:r>
    </w:p>
    <w:p>
      <w:r>
        <w:rPr>
          <w:b/>
        </w:rPr>
        <w:t xml:space="preserve">Quelle: </w:t>
      </w:r>
      <w:r>
        <w:t>https://mcp.opencaselaw.ch/entscheid/ge_gerichte_ATAS_882_2010</w:t>
      </w:r>
    </w:p>
    <w:p>
      <w:r>
        <w:t>FR: GE_GERICHTE ATAS/882/2010 du 31 août 2010</w:t>
      </w:r>
    </w:p>
    <w:p>
      <w:r>
        <w:t>IT: GE_GERICHTE ATAS/882/2010 del 31 agosto 2010</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 maladie, du 18 mars 1994 (LAMal ; RS 832.10) que des contestations relatives aux assurances complémentaires à l’assurance-maladie sociale prévue par la LAMal, et à l’assurance-accidents obligatoire prévue par la loi fédérale sur l'assurance- accidents, du 20 mars 1981 (LAA ; RS 832.20), relevant de la loi fédérale sur la contrat d'assurance, du 2 avril 1908 (loi sur le contrat d’assurance, LCA ; RS 221.229.1). Sa compétence pour juger du cas d’espèce est ainsi établie.</w:t>
      </w:r>
    </w:p>
    <w:p>
      <w:r>
        <w:t>A/2087/2010 - 4/6 -</w:t>
      </w:r>
    </w:p>
    <w:p>
      <w:r>
        <w:rPr>
          <w:b/>
        </w:rPr>
        <w:t>E. 2</w:t>
      </w:r>
    </w:p>
    <w:p>
      <w:r>
        <w:t>Aux termes de l'art. 58 al. 1 LPGA, "le tribunal des assurances compétent est celui du canton de domicile de l’assuré ou d’une autre partie au moment du dépôt du recours". La compétence ratione loci du Tribunal de céans est dès lors également établie.</w:t>
      </w:r>
    </w:p>
    <w:p>
      <w:r>
        <w:rPr>
          <w:b/>
        </w:rPr>
        <w:t>E. 3</w:t>
      </w:r>
    </w:p>
    <w:p>
      <w:r>
        <w:t>Interjeté dans la forme et le délai prescrits, le recours interjeté le 8 juin 2010 contre la décision sur opposition du 12 mai 2010 est recevable (art. 56 et ss LPGA).</w:t>
      </w:r>
    </w:p>
    <w:p>
      <w:r>
        <w:rPr>
          <w:b/>
        </w:rPr>
        <w:t>E. 4</w:t>
      </w:r>
    </w:p>
    <w:p>
      <w:r>
        <w:t>Le litige porte sur le droit de la Caisse-maladie de réclamer à la recourante les primes d'assurance-maladie dues par son époux. Un des buts principaux de la LAMal est de rendre l'assurance-maladie obligatoire pour l'ensemble de la population en Suisse (ATF 126 V 268 consid. 3b et la référence). Aussi bien celle-ci consacre-t-elle le principe de l'obligation d'assurance pour toute personne domiciliée en Suisse (art. 3 al. 1 LAMal).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Selon l'art. 166 al. 3 CC, chaque époux s'oblige personnellement par ses actes et il oblige solidairement son conjoint en tant qu'il n'excède pas ses pouvoirs d'une manière reconnaissable pour les tiers. Le but de cette disposition est notamment de simplifier la procédure d'exécution forcée, en dispensant le créancier de pénibles démarches de recouvrement (voir Hasenböhler, Kommentar zum schweizerischen Privatrecht, Schweizerisches Zivilgesetzbuch I, n° 64 ad art. 166 p. 295). En outre, la représentation de l'union conjugale s'exerce non seulement lors de la formation des actes juridiques mais elle s'étend à leur développement (Hasenböhler, op. cit. n° 67 p. 298). Ainsi par exemple, la prescription interrompue contre l'un des époux solidaires l'est également contre l'autre (art. 136 al. 1 CO), et cela même à l'insu de ce dernier. Idem, une décision de taxation notifiée à l'adresse commune des époux est réputée communiquée aux deux époux; les conjoints vivant en ménage commun n'ont aucun droit constitutionnel à obtenir une communication individuelle d'une décision de taxation (ATF 122 I 139 consid. 2). Aussi la sommation notifiée à l'assuré en application de l'art. 90 al. 3 OAMal est-elle opposable à l'épouse de celui-ci.</w:t>
      </w:r>
    </w:p>
    <w:p>
      <w:r>
        <w:rPr>
          <w:b/>
        </w:rPr>
        <w:t>E. 5</w:t>
      </w:r>
    </w:p>
    <w:p>
      <w:r>
        <w:t>En l'espèce, la recourante a indiqué qu'elle vivait séparée de son époux depuis avril 2008 et considère que ce fait suffit à la dispenser de son obligation solidaire. Tel</w:t>
      </w:r>
    </w:p>
    <w:p>
      <w:r>
        <w:t>A/2087/2010 - 5/6 - n'est pas le cas. Il y a en effet lieu de constater que les primes restées impayées portent sur les années 2006 et 2007 et que les actes de défaut de biens ont été délivrés les 28 février et 28 mars 2007, soit à des dates antérieures à la séparation. C'est par ailleurs le 26 juillet 2007 déjà que la Caisse-maladie lui a adressé une sommation de payer les arriérés dus. Elle reste dès lors tenue en raison du principe de solidarité entre époux de s'acquitter du montant qui lui est réclamé (ATF K63/05).</w:t>
      </w:r>
    </w:p>
    <w:p>
      <w:r>
        <w:t>A/2087/2010 - 6/6 -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