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ATAS/881/2019 vom 30. September 2019</w:t>
      </w:r>
    </w:p>
    <w:p>
      <w:r>
        <w:t>GE Cour de justice, 2019-09-30, FR</w:t>
      </w:r>
    </w:p>
    <w:p>
      <w:r>
        <w:rPr>
          <w:b/>
        </w:rPr>
        <w:t xml:space="preserve">Quelle: </w:t>
      </w:r>
      <w:r>
        <w:t>https://mcp.opencaselaw.ch/entscheid/ge_gerichte_ATAS_881_2019</w:t>
      </w:r>
    </w:p>
    <w:p>
      <w:r>
        <w:t>FR: GE_GERICHTE ATAS/881/2019 du 30 septembre 2019</w:t>
      </w:r>
    </w:p>
    <w:p>
      <w:r>
        <w:t>IT: GE_GERICHTE ATAS/881/2019 del 30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Il convient de définir préalablement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toutefois pas limité au point qu'il doive s'abstenir de se prononcer sur des périodes à propos desquelles l'octroi de prestations n'est pas remis en cause. En effet, l’augmentation, la réduction ou la suppression d’une rente par voie de révision repose toujours – même lorsqu’elle est rétroactive et décidée simultanément avec l’octroi de la rente – sur une comparaison de l’état de fait existant à l‘époque de la décision d’octroi de la rente (ou du début du droit à celle-ci) avec les circonstances prévalant au moment de la révision (cf. ATF 125 V 413 consid. 2d in fine et les arrêts cités).</w:t>
      </w:r>
    </w:p>
    <w:p>
      <w:r>
        <w:t>A/3624/2018 - 12/23 - Dans un arrêt du 12 juillet 2007, le Tribunal fédéral a précisé que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al. 1 RAI (arrêt du Tribunal fédéral I 716 du 12 juillet 2007 consid. 5.2). Il découle de ce qui précède que même si, en l’espèce, seule est contestée la suppression de la rente entière d’invalidité du 1er au 31 mars 2016 et à partir du 1er octobre 2017, la chambre de céans ne saurait se contenter de déterminer s’il y a matière à révision. Il lui incombe, le cas échéant, d’examiner également si les conditions d’octroi d’une rente entière sont réunies à compter du 1er novembre 2015, respectivement à partir du 1er avril 2016 (cf. ATF 125 V 413 consid. 3b).</w:t>
      </w:r>
    </w:p>
    <w:p>
      <w:r>
        <w:rPr>
          <w:b/>
        </w:rPr>
        <w:t>E. 5</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125 V 413 consid. 2d; arrêt du Tribunal fédéral 9C_134/2015 consid. 4.1 et les références). Aux termes de l’art. 88a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applicable par analogie (al. 2).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t>A/3624/2018 - 13/23 -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A/3624/2018 - 14/23 -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w:t>
      </w:r>
    </w:p>
    <w:p>
      <w:r>
        <w:t>A/3624/2018 - 15/23 -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La reconnaissance de l'existence desdits troubles suppose d'abord la présence d'un diagnostic émanant d'un expert (psychiatre) et s'appuyant lege artis sur les critères d'un système de classification reconnu (ATF 130 V 396 consid. 5.3).</w:t>
      </w:r>
    </w:p>
    <w:p>
      <w:r>
        <w:t>A/3624/2018 - 16/23 -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8</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A/3624/2018 - 17/23 -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w:t>
      </w:r>
    </w:p>
    <w:p>
      <w:r>
        <w:t>A/3624/2018 - 18/23 -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w:t>
      </w:r>
    </w:p>
    <w:p>
      <w:r>
        <w:rPr>
          <w:b/>
        </w:rPr>
        <w:t>E. 10</w:t>
      </w:r>
    </w:p>
    <w:p>
      <w:r>
        <w:t>p. 28 consid. 4b), la jurisprudence rendue sous l’empire de l’art. 4 aCst. étant toujours valable (ATF 124 V 90 consid. 4b; ATF 122 V 157 consid. 1d).</w:t>
      </w:r>
    </w:p>
    <w:p>
      <w:r>
        <w:t>A/3624/2018 - 19/23 -</w:t>
      </w:r>
    </w:p>
    <w:p>
      <w:r>
        <w:rPr>
          <w:b/>
        </w:rPr>
        <w:t>E. 11</w:t>
      </w:r>
    </w:p>
    <w:p>
      <w:r>
        <w:t>a. En l’espèce, il n’est pas contesté par les parties que la recourante présentait une incapacité de travail complète dans toute activité entre le 21 novembre 2014 et le 30 novembre 2015 ainsi qu’entre le 6 avril 2016 et le 2 juillet 2017. En revanche, elles s’opposent sur la question du recouvrement de la capacité de travail de la recourante à hauteur de 50 % du 1er au 31 décembre 2015 et de 100 % du 1er janvier 2016 au 5 avril 2016 et à partir du 3 juillet 2017 dans toute activité. Dans le cas particulier, il ressort du rapport du 23 décembre 2015 de la psychiatre traitante, la Dresse D______, que l’état de santé de l’assurée s’était amélioré mi- octobre 2015, et de façon notable mi-décembre 2015, qu’il n’y avait alors pas d’état dépressif et une bonne récupération du burnout. La Dresse D______ estime certes, dans ce même rapport, que la recourante présentait néanmoins des troubles de la concentration et de la mémoire, une fragilité émotionnelle et une vulnérabilité au stress et qu’en tant que comptable, sa capacité de travail était de 50 %. Quoi qu’il en soit, on ne saurait faire abstraction de l’inscription au chômage de l’intéressée à 50 % le 1er décembre 2015, portée à 100 % le 1er janvier 2016, étant souligné que l'aptitude au placement d’un chômeur suppose notamment sa capacité de travail (cf. l'art. 15 al. 3 de la loi fédérale sur l'assurance-chômage obligatoire et l'indemnité en cas d'insolvabilité du 25 juin [LACI ; RS 837.0] où cette notion est mentionnée explicitement; cf. arrêt du Tribunal fédéral 8C_245/2010 du 9 février 2011 consid. 5.3). À la lumière de ces circonstances, l’avis SMR du 23 janvier 2018 peut être suivi en tant qu’il conclut à une incapacité de travail de 50 % du 1er au 31 décembre 2015, respectivement de 0 % du 1er janvier 2016 au 5 avril 2016 dans son activité habituelle comme dans une activité adaptée. b. Reste à déterminer s’il existe des motifs suffisants pour considérer que la recourante avait recouvré une capacité de travail entière dans toute activité à partir du 3 juillet 2017, date de l’entretien de la recourante avec l’expert psychiatre. Il ressort en synthèse du rapport du 22 décembre 2017 du Dr K______ que le « parcours morbide psychiatrique » de la recourante relève davantage de la persistance d’une symptomatologie subdépressive d’intensité variable – doublée d’une personnalité anankastique n’ayant pas empêché l’intéressée d’exercer des activités professionnelles tout au long de sa vie –, et donc d’une dysthymie, que de l’incidence d’épisodes formellement dépressifs, à tout le moins au moment de l’expertise, le diagnostic d’épisode dépressif sévère étant écarté en outre par la présence d’idées certes suicidaires mais – ce qui est décisif – dans un registre exclusivement idéique, sans probabilité de passage à l’acte. En toute hypothèse, l’expert n’a pas constaté que l’asthénie et les troubles de la concentration et de la mémoire – que la Dresse D______ évoquait encore dans son rapport du 25 juin 2015 pour justifier une capacité de travail restreinte – auraient été encore présents le 3 juillet 2017, lors de l’entretien avec l’expert psychiatre, la recourante se montrant capable non seulement d’être attentive et concentrée tout au long de cet entretien – ou des séries télévisées qu’elle suivait en vaquant à ses occupations</w:t>
      </w:r>
    </w:p>
    <w:p>
      <w:r>
        <w:t>A/3624/2018 - 20/23 - (broderie) – mais aussi de mobiliser l’énergie nécessaire pour se rendre plusieurs fois par semaine aux réunions organisées par le CAPPI et la Fondation Trajets ou encore à ses cours de couture hebdomadaires, de sorte que la capacité de travail de l’intéressée était entière au moment de l’expertise. Pour le reste, le Dr K______ ne répond pas directement à la grille de questions établie par l’OAI mais renvoie le lecteur à rechercher dans l’expertise les différents indicateurs (cf. ci-dessus : consid. 7) et à en faire la synthèse lui-même. Il résulte néanmoins de cet exercice qu’à l’aune de l’indicateur « atteinte à la santé », la dysthymie conjuguée au trouble de la personnalité anankastique, n’est pas reconnue comme incapacitante dans le contexte d’un suivi et d’une adhésion thérapeutiques ne souffrant pas la critique. Quant à l’axe « personnalité », les considérations de l’expert indiquent que le trouble de la personnalité anankastique – même s’il peut être à l’origine de difficultés relationnelles dans le cadre professionnel et extra-professionnel – n’est pas de nature à conduire à une limitation durable de l’activité professionnelle, la recourante ayant été en mesure d’exercer des activités professionnelles tout au long de sa vie et reconnaissant également, au moment de l’expertise, présenter des compétences suffisantes pour reprendre une activité professionnelle. Quant au contexte social, il n’est certes pas favorable mais les facteurs à la base de cette appréciation (chômage, situation économique difficile, âge) n’en demeurent pas moins étrangers à l’invalidité. Enfin, l’examen des indicateurs relevant de la catégorie « cohérence » ne révèle objectivement pas de limitation uniforme du niveau des activités dans tous les domaines comparables de la vie (participations pluri-hebdomadaires aux activités du CAPPI et de la Fondation Trajets, participation hebdomadaire au cours de couture, capacité de mobiliser son énergie, sa concentration et son attention). En synthèse, le degré fonctionnel de l’atteinte à la santé ne se répercutait pas, au moment de l’expertise, sur la capacité de travail de la recourante dans son activité habituelle de comptable comme dans toute activité adaptée, cette appréciation étant également corroborée par l’examen de la cohérence, en termes de limitation uniforme de l’activité dans tous les domaines de la vie. Tenant compte des plaintes de l’intéressée, comportant une anamnèse détaillée, des diagnostics motivés et des conclusions claires et cohérentes à la lumière des indicateurs jurisprudentiels, le rapport d’expertise psychiatrique du Dr K______ remplit ainsi les réquisits permettant de lui reconnaître valeur probante. c. La recourante soutient pour sa part qu’il ne serait pas possible de se fonder sur ce rapport dans la mesure où le SMR considère lui-même, dans son avis du 23 janvier 2018, que l’expert retiendrait un trouble différent (troubles dysthymiques versus trouble dépressif récurrent) sans apporter d’élément contributif à sa prise de position. De plus, selon la recourante, le rapport d’expertise n’emporterait pas la conviction « en raison des avis contraires unanimes de tous les médecins traitants et spécialistes ». Aussi convient-il d’examiner ces rapports.</w:t>
      </w:r>
    </w:p>
    <w:p>
      <w:r>
        <w:t>A/3624/2018 - 21/23 - Concernant le premier point soulevé, la chambre de céans est d’avis que les critiques exprimées par le SMR ne s’avèrent pas justifiées et, partant, ne sont pas de nature à remettre en cause les conclusions de l’expert – au demeurant partagées par le SMR s’agissant de l’évolution favorable de l’état psychiatrique constatée le 3 juillet 2017 et de l’absence d’atteinte à la santé incapacitante à cette date. En effet, contrairement à ce que soutient la recourante, le Dr ______ ne se borne pas à expliquer les diagnostics retenus en invoquant les rôles différents dévolus au médecin traitant, respectivement à l’expert, il explique les diagnostics retenus au moyen du « parcours morbide psychiatrique », retracé au moyen d’une anamnèse détaillée et d’un status psychiatrique qui met en lumière, d’un point de vue fonctionnel, le faible retentissement de l’atteinte à la santé psychique de la recourante ainsi qu’un état d’humeur habituellement normothymique. L’expert explique également écarter le diagnostic d’épisode dépressif sévère au vu d’idées certes suicidaires mais cantonnées dans un registre exclusivement idéique, sans probabilité de passage à l’acte. En second lieu, quand bien même des différences d’opinion entre experts et médecins traitants ne sont pas pertinentes en tant que telles pour apprécier la valeur probante d’une expertise (cf. consid. 8c/cc), force est de constater que le trouble dysthymique chronique a été posé, avant l’expert, par la Dresse D______ dans son rapport du 25 juin 2015 et que ce même médecin attestait également de l’absence d’état dépressif en décembre 2015. Quant au trouble de la personnalité anankastique, il y est également fait référence dans les appréciations du Dr M______. En conséquence, on ne saurait suivre la recourante en tant qu’elle tente de tirer argument d’avis médicaux contraires, prétendument unanimes, pour dénier toute valeur probante à l’expertise. Dans ses prises de position des 26 mars et 8 octobre 2018, le Dr M______ indique avoir pris connaissance du rapport du Dr K______ et ne pas partager l’appréciation de l’expert s’agissant du diagnostic de dysthymie. Dans son rapport du 22 février 2018, le Dr M______ précise que depuis « notre dernier rapport du 18 octobre 2016 » (i.e. rapport de la Dresse I______ rendu à cette même date), il constaterait une persistance de la symptomatologie anxio-dépressive avec une capacité de travail qui est toujours de 0 %. Ce faisant, ce médecin procède à une appréciation différente d’un même état de fait – sur lequel l’expert s’est déjà prononcé en juillet 2017 – sans faire état d’éléments objectivement vérifiables qui auraient été ignorés par le Dr K______. Ces remarques sont également valables pour le rapport du 4 octobre 2018, dans lequel la Dresse C______ atteste un état de santé « clairement aggravé depuis 2014 entrainant une incapacité actuelle à 100 % ».</w:t>
      </w:r>
    </w:p>
    <w:p>
      <w:r>
        <w:rPr>
          <w:b/>
        </w:rPr>
        <w:t>E. 12</w:t>
      </w:r>
    </w:p>
    <w:p>
      <w:r>
        <w:t>Compte tenu de ce qui précède, la chambre de céans considère qu’il est établi, au degré de la vraisemblance prépondérante, qu’au terme du délai d’attente d’un an, soit en novembre 2015, la recourante présentait une incapacité de travail entière jusqu’au 30 novembre 2015, de 50 % du 1er au 31 décembre 2015, de 0 % du 1er janvier 2016 au 5 avril 2016, de 100 % du 6 avril 2016 au 2 juillet 2017 et de 0 % dès le 3 juillet 2017. Pour le surplus, la durée des rentes temporaires entières</w:t>
      </w:r>
    </w:p>
    <w:p>
      <w:r>
        <w:t>A/3624/2018 - 22/23 - versées du 1er novembre 2015 au 29 février 2016 et du 1er avril 2016 au 30 septembre 2017 a été déterminée conformément aux dispositions applicables (ci- dessus : consid. 5a) et ne prête donc pas le flanc à la critique. On précisera à cet égard qu’il n'est pas nécessaire de chiffrer précisément les revenus avec et sans invalidité dès lors que le taux d'invalidité à la base de ces rentes (100 %) se confond avec le taux d'incapacité de travail de la recourante dans toute activité (cf. notamment l’arrêt du Tribunal fédéral 9C_260/2013 du 9 août 2013 consid. 4.2).</w:t>
      </w:r>
    </w:p>
    <w:p>
      <w:r>
        <w:rPr>
          <w:b/>
        </w:rPr>
        <w:t>E. 13</w:t>
      </w:r>
    </w:p>
    <w:p>
      <w:r>
        <w:t>Mal fondé, le recours doit être rejeté. Représentée par un conseil mais n’obtenant pas gain de cause, la recourante n’a pas droit à des dépens (art. 61 let. g LPGA a contrario). La procédure n'étant pas gratuite (art. 69 al. 1bis LAI), il y a lieu de condamner la recourante au paiement d'un émolument de CHF 200.-.</w:t>
      </w:r>
    </w:p>
    <w:p>
      <w:r>
        <w:t>*****</w:t>
      </w:r>
    </w:p>
    <w:p>
      <w:r>
        <w:t>A/3624/2018 - 23/23 -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