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ATAS/880/2022 vom 29. September 2022</w:t>
      </w:r>
    </w:p>
    <w:p>
      <w:r>
        <w:t>GE Cour de justice, 2022-09-29, FR</w:t>
      </w:r>
    </w:p>
    <w:p>
      <w:r>
        <w:rPr>
          <w:b/>
        </w:rPr>
        <w:t xml:space="preserve">Quelle: </w:t>
      </w:r>
      <w:r>
        <w:t>https://mcp.opencaselaw.ch/entscheid/ge_gerichte_ATAS_880_2022</w:t>
      </w:r>
    </w:p>
    <w:p>
      <w:r>
        <w:t>FR: GE_GERICHTE ATAS/880/2022 du 29 septembre 2022</w:t>
      </w:r>
    </w:p>
    <w:p>
      <w:r>
        <w:t>IT: GE_GERICHTE ATAS/880/2022 del 29 settembre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60 al. 1 LPGA ; art. 89B de la loi sur la procédure administrative du 12 septembre 1985 [LPA - E 5 10]).</w:t>
      </w:r>
    </w:p>
    <w:p>
      <w:r>
        <w:rPr>
          <w:b/>
        </w:rPr>
        <w:t>E. 3</w:t>
      </w:r>
    </w:p>
    <w:p>
      <w:r>
        <w:t>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a contrario LPGA).</w:t>
      </w:r>
    </w:p>
    <w:p>
      <w:r>
        <w:t>A/3907/2021 - 5/13 -</w:t>
      </w:r>
    </w:p>
    <w:p>
      <w:r>
        <w:rPr>
          <w:b/>
        </w:rPr>
        <w:t>E. 4</w:t>
      </w:r>
    </w:p>
    <w:p>
      <w:r>
        <w:t>Le 1er janvier 2017 est entrée en vigueur la modification du 25 septembre 2015 de la LAA. Dans la mesure où l'accident est survenu avant cette date, le droit de la recourante aux prestations d'assurance est soumis à l'ancien droit (cf. al. 1 des dispositions transitoires relatives à la modification du 25 septembre 2015; arrêt du Tribunal fédéral 8C_662/2016 du 23 mai 2017 consid. 2.2). Les dispositions légales seront citées ci-après dans leur teneur en vigueur jusqu'au 31 décembre 2016.</w:t>
      </w:r>
    </w:p>
    <w:p>
      <w:r>
        <w:rPr>
          <w:b/>
        </w:rPr>
        <w:t>E. 5</w:t>
      </w:r>
    </w:p>
    <w:p>
      <w:r>
        <w:t>Le litige porte sur le droit du recourant à une rente d’invalidité, et plus particulièrement sur le revenu avec invalidité à prendre en considération (CCT, ESS et abattement).</w:t>
      </w:r>
    </w:p>
    <w:p>
      <w:r>
        <w:rPr>
          <w:b/>
        </w:rPr>
        <w:t>E. 6.1</w:t>
      </w:r>
    </w:p>
    <w:p>
      <w:r>
        <w:t>Si l'assuré est invalide (art. 8 LPGA) à 10% au moins par suite d’un accident, il a droit à une rente d'invalidité (art. 18 al. 1 aLAA).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6.2</w:t>
      </w:r>
    </w:p>
    <w:p>
      <w:r>
        <w:t>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Selon la jurisprudence, la question de la suspension des indemnités journalières et du traitement médical d’une part, et de l’examen des conditions du droit à la rente et de l’indemnité pour atteinte à l’intégrité d’autre part, forment un seul objet du litige (ATF 144 V 354 consid. 4.2 et les références), de sorte que l’assureur n’est pas tenu de rendre deux décisions distinctes. Lorsque l’assureur rend une décision formelle de refus de droit à la rente, il y a lieu d’admettre qu’il refuse également formellement la poursuite du versement de l’indemnité journalière et de la prise en charge du traitement médical (cf. arrêt du Tribunal fédéral 8C_619/2018 du</w:t>
      </w:r>
    </w:p>
    <w:p>
      <w:r>
        <w:rPr>
          <w:b/>
        </w:rPr>
        <w:t>E. 7</w:t>
      </w:r>
    </w:p>
    <w:p>
      <w:r>
        <w:t>mars 2019 consid. 3.3).</w:t>
      </w:r>
    </w:p>
    <w:p>
      <w:r>
        <w:t>A/3907/2021 - 6/13 -</w:t>
      </w:r>
    </w:p>
    <w:p>
      <w:r>
        <w:rPr>
          <w:b/>
        </w:rPr>
        <w:t>E. 7.1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w:t>
      </w:r>
    </w:p>
    <w:p>
      <w:r>
        <w:rPr>
          <w:b/>
        </w:rPr>
        <w:t>E. 7.2</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7.3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ATF 135 V 297 consid. 5.1 et les références; ATF 134 V 322 consid. 4.1 et les références). En principe, pour le revenu sans invalidité, dès lors qu'ils tiennent mieux compte des différentes catégories d'activités que les statistiques salariales, les salaires fixés par convention collective de travail sont mieux à même de respecter le principe selon lequel le revenu sans invalidité doit être évalué de la manière la plus concrète possible (arrêts du Tribunal fédéral 8C_778/2017 du 25 avril 208 consid. 4.4 [LAA] ; 8C_779/2018 consid. 4.3 [LAI]). 7.4.1. Quant au revenu d'invalide, il doit être évalué avant tout en fonction de la situation professionnelle concrète de l'intéressé (ATF 135 V 297 consid. 5.2). En ce sens, la référence aux données de l'ESS constitue une ultima ratio (ATF 142 V 178 consid. 2.5.7). Ainsi, lorsque l'activité exercée après la survenance de l'atteinte à la santé repose sur des rapports de travail particulièrement stables, qu'elle met pleinement en</w:t>
      </w:r>
    </w:p>
    <w:p>
      <w:r>
        <w:t>A/3907/2021 - 7/13 - valeur la capacité de travail résiduelle exigible et que le gain obtenu correspond au travail effectivement fourni et ne contient pas d'éléments de salaire social, c'est le revenu effectivement réalisé qui doit être pris en compte comme revenu après invalidité (ATF 142 V 178 consid. 2.5.7).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143 V 295 consid. 2.2 et les références ATF 126 V 75 consid. 3b/aa et bb ; voir également arrêt du Tribunal fédéral 9C_140/2017 du 18 août 2017 consid. 5.4.1).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"total secteur privé"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Il convient de se référer à la version de l'ESS publiée au moment déterminant de la décision querellée (ATF 143 V 295 consid. 4 ; arrêt du Tribunal fédéral 8C_655/2016 du 4 août 2017 consid. 6.3), étant précisé que les tableaux TA1, T1 et T17 de l’ESS 2020 ont été publiés le 23 août 2022; l’ESS 2018, le 21 avril 2020; l’ESS 2016, le 26 octobre 2018 (étant précisé que le tableau T1_tirage_skill_level a été corrigé le 8 novembre 2018); et l’ESS 2014, le 15 avril 2016.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w:t>
      </w:r>
    </w:p>
    <w:p>
      <w:r>
        <w:t>A/3907/2021 - 8/13 -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7.4.2.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135 V 297 consid. 5.2;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146 V 16 consid. 4.1 et les références; ATF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et les références; arrêt du Tribunal fédéral 8C_608/2021 du 26 avril 2022 consid. 3.3 et les références).</w:t>
      </w:r>
    </w:p>
    <w:p>
      <w:r>
        <w:t>A/3907/2021 - 9/13 -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130 III 321 consid. 3.2 et 3.3; ATF 126 V 353 consid. 5b; ATF 125 V 193 consid. 2 et les références). Aussi n’existe-t-il pas, en droit des assurances sociales, un principe selon lequel l’administration ou le juge devrait statuer, dans le doute, en faveur de l’assuré (ATF 135 V 39 consid. 6. 1 et la référence).</w:t>
      </w:r>
    </w:p>
    <w:p>
      <w:r>
        <w:rPr>
          <w:b/>
        </w:rPr>
        <w:t>E. 9.1</w:t>
      </w:r>
    </w:p>
    <w:p>
      <w:r>
        <w:t>En l’espèce, la SUVA a nié au recourant le droit à une rente d'invalidité, au motif que le degré de celle-ci ne s'élève qu'à 1%. L'intimée a retenu, à titre de revenu avec invalidité, le salaire statistique de l’ESS 2018, pour la branche « industrie manufacturière », s'agissant d'un homme avec un niveau de compétence 1, sans réduction supplémentaire. Le recourant conteste cette façon de faire et soutient que le revenu d'invalide devrait être calculé en fonction de la CCT de l’industrie mécanique. Subsidiairement, il conteste le revenu statistique retenu et conclut à ce qu'il soit, qui plus est, réduit de 15%.</w:t>
      </w:r>
    </w:p>
    <w:p>
      <w:r>
        <w:rPr>
          <w:b/>
        </w:rPr>
        <w:t>E. 9.2</w:t>
      </w:r>
    </w:p>
    <w:p>
      <w:r>
        <w:t>À titre liminaire, la Cour de céans constate qu’en rendant une décision de refus du droit à la rente, la SUVA a également formellement refusé la poursuite du versement de l’indemnité journalière et de la prise en charge du traitement médical, ce qui n’est pas contesté par le recourant. Celui-ci ne remet pas davantage en question le revenu sans invalidité pris en considération par l'intimée pour la comparaison des revenus (CHF 71'858.-). 9.3.1. S’agissant du revenu avec invalidité, le recourant demande à ce que l'on se réfère à la CCT de l’industrie mécanique. Force est toutefois de constater, dans ce contexte, que si la jurisprudence fédérale admet effectivement la prise en considération d’une telle convention pour déterminer le revenu sans invalidité, il n’en va pas de même en ce qui concerne le revenu avec invalidité, pour lequel les statistiques ressortant de l'ESS doivent être appliquées en l’absence d’un revenu effectivement réalisé (cf. consid. 8.4.1 supra). Dans ces conditions, c’est donc à juste titre que l’intimée n’a pas déterminé le revenu avec invalidité sur la base de la CCT de l’industrie mécanique.</w:t>
      </w:r>
    </w:p>
    <w:p>
      <w:r>
        <w:rPr>
          <w:b/>
        </w:rPr>
        <w:t>E. 9.2.2</w:t>
      </w:r>
    </w:p>
    <w:p>
      <w:r>
        <w:t>Le recourant conteste ensuite la ligne de la tabelle retenue. Il considère qu’il convient de déterminer le salaire avec invalidité en se référant à la ligne « total » pour un homme avec un niveau de compétence 1 et non à la ligne 10-33</w:t>
      </w:r>
    </w:p>
    <w:p>
      <w:r>
        <w:t>A/3907/2021 - 10/13 - « industrie manufacturière » pour un homme avec un niveau de compétence 1, comme l’a fait la SUVA. Cependant, le recourant a bénéficié d’une mesure de reclassement en tant que programmeur-régleur sur machine CNC. Certes, l’OAI n’a pris en charge que le premier module. Cela étant, il ressort du recours que l’assuré a pris à sa charge les frais du second module et qu’il a obtenu le diplôme de formation continue y relatif. Concrètement, au terme de la formation de programmeur-régleur sur machine CNC, le participant doit être en mesure de connaître la programmation ISO et introduire les programmes sur la machine, adapter les vitesses de coupe, effectuer une simulation de programmes à l'aide de logiciels et des connaissances méthodologiques, programmer une pièce manuellement ou à l’aide d’un logiciel FAO (Fabrication Assistée par Ordinateur) et fabriquer des pièces (voir la description à l’adresse https://www.orientation.ch/dyn/show/2886?id=4399). Il s’agit là de compétences requises dans de nombreux domaines, tels que l’horlogerie, les activités générales de travail du métal (placage, revêtement, gravure, perçage, polissage, soudure, etc.) généralement réalisées pour le compte de tiers. Or, ces activités font partie de l’industrie manufacturière (cf. Nomenclature générale des activités économiques - Notes explicatives - NOGA 2008 p. 23ss). Ainsi, dans la mesure où le recourant a bénéficié d’un reclassement dans l’industrie manufacturière, c'est à juste titre que l'intimée s'est référée à la ligne 10-33 « industrie manufacturière », même si les frais de formation n’ont été que partiellement pris en charge par l’OAI (voir dans le même sens : arrêts du Tribunal fédéral 8C_553/2016 du 1er mai 2017 et 8C_610/2017 du 3 avril 2018 consid. 4.3). Au demeurant, le salaire statistique général (ligne 10-33) pour un homme avec un niveau de compétence 1, de CHF 5'503.-, se rapproche du salaire réalisé dans les domaines de la métallurgie et de la fabrication de produits métalliques (ligne 24-25 ; CHF 5'488.-) et de la fabrication de produits informatiques électroniques et optiques, et horlogerie (ligne 26 ; CHF 5'551.-), de sorte que le salaire retenu par la SUVA n'apparaît pas arbitraire. On peut même s’interroger sur le niveau de compétence retenu par l’intimée. En effet, le niveau 1 correspond aux activités physiques et manuelles, alors que le niveau 2 se réfère aux tâches pratiques, telles que la vente, les soins, le traitement des données, les tâches administratives, l'utilisation de machines et d'appareils électroniques, les services de sécurité et la conduite de véhicules. Or, le recourant est désormais titulaire d’un diplôme de programmeur-régleur sur machine CNC, ce qui implique de savoir comment utiliser certains types de machines. Il ne s’agit pas là d’une activité physique ou manuelle simple. On peut ainsi se demander si la SUVA n’aurait pas dû retenir un niveau de compétence 2. Cette question peut toutefois rester ouverte, dès lors que, même en retenant le salaire statistique pour</w:t>
      </w:r>
    </w:p>
    <w:p>
      <w:r>
        <w:t>A/3907/2021 - 11/13 - un homme avec un niveau de compétences 1, le recours doit être rejeté comme cela ressort de ce qui suit.</w:t>
      </w:r>
    </w:p>
    <w:p>
      <w:r>
        <w:rPr>
          <w:b/>
        </w:rPr>
        <w:t>E. 9.2.3</w:t>
      </w:r>
    </w:p>
    <w:p>
      <w:r>
        <w:t>Le recourant conclut à l’application d’un abattement de 10% au minimum. C’est le lieu de rappeler qu’un abattement n'est pas automatique, mais qu’il se justifie dans les cas où il existe des indices suffisants pour admettre qu'en raison de différents facteurs (par exemple limitations liées au handicap, à l’âge, à la nationalité/catégorie d'autorisation de séjour et au taux d'occupation), l’assuré ne peut mettre à profit sa capacité de travail (résiduelle) sur le plan économique que dans une mesure inférieure à la moyenne (ATF 126 V 75 consid. 5b/aa ; cf. également l’arrêt du Tribunal fédéral 9C_29/2012 du 27 juin 2012 consid. 4.2). Dans le cas du recourant, on peut admettre qu’il présente une limitation en lien avec son atteinte au membre supérieur gauche, dans la mesure où il ne peut mettre à profit sa capacité résiduelle de travail que dans des activités légères, n’impliquant ni port de charges de plus de 5 à 10 kg, ni port répété de charges de plus de 5 kg, ni position membres supérieurs au-dessus des épaules, ni travail de force, ni mouvements répétés des membres supérieurs, ni position membres supérieurs en porte-à-faux et où il doit privilégier la position « coudes au corps ». Toutefois, on rappellera que seule l’atteinte à l’épaule gauche est encore en lien avec l’accident assuré et par conséquent visée par les limitations fonctionnelles précitées. Cela étant, l’OAI et le recourant ont considéré que ces restrictions étaient parfaitement compatibles avec l'activité de programmeur-régleur sur machine CNC dans laquelle le recourant a été réadapté, dès lors qu'il pourra exercer cette activité à plein temps, sans diminution de rendement (cf. dans le même sens : arrêt 8C_405/2021 du 9 novembre 2021 consid. 6.4.2.). Pour le reste, le recourant ne démontre pas que d’autres circonstances seraient susceptibles de diminuer concrètement ses perspectives salariales sur un marché du travail équilibré. En effet, selon la jurisprudence récente,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De surcroît, tout nouveau travail va de pair avec une période d'apprentissage, de sorte qu'il n'y a pas non plus lieu d'effectuer un abattement à ce titre (arrêt du Tribunal fédéral 8C_103/2018 du 25 juillet 2018 consid. 5.1-5.2). C’est donc à juste titre que l’intimée n’a pas appliqué d’abattement.</w:t>
      </w:r>
    </w:p>
    <w:p>
      <w:r>
        <w:rPr>
          <w:b/>
        </w:rPr>
        <w:t>E. 10</w:t>
      </w:r>
    </w:p>
    <w:p>
      <w:r>
        <w:t>Au vu de ce qui précède, le recours du 15 novembre 2021 est rejeté. Le recourant, qui succombe, n’a pas droit à des dépens.</w:t>
      </w:r>
    </w:p>
    <w:p>
      <w:r>
        <w:t>A/3907/2021 - 12/13 - Par ailleurs, les assureurs sociaux qui obtiennent gain de cause devant une juridiction de première instance n'ont en principe pas le droit à une indemnité de dépens (ATF 126 V 149 consid. 4). Pour le surplus, la procédure est gratuite.</w:t>
      </w:r>
    </w:p>
    <w:p>
      <w:r>
        <w:t>A/3907/2021 - 13/13 -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