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ATAS/880/2012 vom 3. Juli 2012</w:t>
      </w:r>
    </w:p>
    <w:p>
      <w:r>
        <w:t>GE Cour de justice, 2012-07-03, FR</w:t>
      </w:r>
    </w:p>
    <w:p>
      <w:r>
        <w:rPr>
          <w:b/>
        </w:rPr>
        <w:t xml:space="preserve">Quelle: </w:t>
      </w:r>
      <w:r>
        <w:t>https://mcp.opencaselaw.ch/entscheid/ge_gerichte_ATAS_880_2012</w:t>
      </w:r>
    </w:p>
    <w:p>
      <w:r>
        <w:t>FR: GE_GERICHTE ATAS/880/2012 du 3 juillet 2012</w:t>
      </w:r>
    </w:p>
    <w:p>
      <w:r>
        <w:t>IT: GE_GERICHTE ATAS/880/2012 del 3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A/558/2012 - 3/5 -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rPr>
          <w:b/>
        </w:rPr>
        <w:t>E. 3</w:t>
      </w:r>
    </w:p>
    <w:p>
      <w:r>
        <w:t>Interjeté dans les formes et délai prescrits par la loi, le présent recours est recevable (art. 56 à 61 LPGA).</w:t>
      </w:r>
    </w:p>
    <w:p>
      <w:r>
        <w:rPr>
          <w:b/>
        </w:rPr>
        <w:t>E. 4</w:t>
      </w:r>
    </w:p>
    <w:p>
      <w:r>
        <w:t>Le litige est limité à la question des dépens, les parties ayant convenu de la prise en charge du traitement du Dr A_________ exclusivement pour les mois d'août et septembre 2011.</w:t>
      </w:r>
    </w:p>
    <w:p>
      <w:r>
        <w:rPr>
          <w:b/>
        </w:rPr>
        <w:t>E. 5</w:t>
      </w:r>
    </w:p>
    <w:p>
      <w:r>
        <w:t>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w:t>
      </w:r>
    </w:p>
    <w:p>
      <w:r>
        <w:rPr>
          <w:b/>
        </w:rPr>
        <w:t>E. 6</w:t>
      </w:r>
    </w:p>
    <w:p>
      <w:r>
        <w:t>En l'espèce, il s'agit de déterminer si le recours formé par l'assuré avait des chances de succès, eu égard aux motifs évoqués et aux dispositions légales applicables. En premier lieu, personne ne met en doute que le traitement dispensé par le Dr A_________ soit nécessaire, adéquat et approprié à l'état de santé de l'assuré. Toutefois, en présence d'une totale incapacité de travail, seules les mesures médicales qui améliorent notablement l'état de santé ou empêchent que celui-ci ne subisse une notable détérioration sont à la charge de l'assureur accident. L'assureur a considéré que tel n'était plus le cas par décision sur opposition du 6 janvier 2011, définitive et exécutoire. Il est établi que le traitement de soutien dispensé par le psychiatre dès janvier 2011 relève de l'assurance maladie et, sur ce point, le recours n'avait pas de chance de</w:t>
      </w:r>
    </w:p>
    <w:p>
      <w:r>
        <w:t>A/558/2012 - 4/5 - succès. Bien que le Dr A_________ ait effectivement affirmé avoir progressivement allégé les mesures thérapeutiques suite à la décision de l'assurance du 31 août 2010 confirmée le 6 janvier 2011, il n'est pas démontré, au degré de la vraisemblance prépondérante, que cela ait été la cause de la notable aggravation de l'état de santé psychique de l'assuré en août et en septembre 2011. Il s'avère d'ailleurs que l'assuré avait sollicité la prise en charge des deux seuls mois concernés mais que, face au refus de l'assurance, il a été contraint de procéder par la voie judiciaire. Seule une instruction médicale, disproportionnée par rapport à l'objet du litige, permettrait de se prononcer sur l'aggravation notable de l'état de santé, voire ses causes, mais il convient de retenir au degré de la vraisemblance prépondérante, eu égard à ce qui précède, que le recours avait des chances de succès, mais limitées à la prise en charge des soins pour les mois d'août et septembre 2011. Compte tenu par ailleurs de la brièveté des écritures du recourant, une indemnité limitée à 500 fr. lui sera allouée.</w:t>
      </w:r>
    </w:p>
    <w:p>
      <w:r>
        <w:t>A/558/2012 - 5/5 -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