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ATAS/880/2010 vom 31. August 2010</w:t>
      </w:r>
    </w:p>
    <w:p>
      <w:r>
        <w:t>GE Cour de justice, 2010-08-31, FR</w:t>
      </w:r>
    </w:p>
    <w:p>
      <w:r>
        <w:rPr>
          <w:b/>
        </w:rPr>
        <w:t xml:space="preserve">Quelle: </w:t>
      </w:r>
      <w:r>
        <w:t>https://mcp.opencaselaw.ch/entscheid/ge_gerichte_ATAS_880_2010</w:t>
      </w:r>
    </w:p>
    <w:p>
      <w:r>
        <w:t>FR: GE_GERICHTE ATAS/880/2010 du 31 août 2010</w:t>
      </w:r>
    </w:p>
    <w:p>
      <w:r>
        <w:t>IT: GE_GERICHTE ATAS/880/2010 del 31 agosto 2010</w:t>
      </w:r>
    </w:p>
    <w:p>
      <w:pPr>
        <w:pStyle w:val="Heading2"/>
      </w:pPr>
      <w:r>
        <w:t>Erwägungen</w:t>
      </w:r>
    </w:p>
    <w:p>
      <w:r>
        <w:rPr>
          <w:b/>
        </w:rPr>
        <w:t>E. 12</w:t>
      </w:r>
    </w:p>
    <w:p>
      <w:r>
        <w:t>L’expertise précitée a été transmise au SERVICE MEDICAL REGIONAL DE L’ASSURANCE-INVALIDITE (ci-après : SMR) qui a pris note que l’assuré présentait une capacité de travail de 90 à 100% depuis 1990.</w:t>
      </w:r>
    </w:p>
    <w:p>
      <w:r>
        <w:rPr>
          <w:b/>
        </w:rPr>
        <w:t>E. 13</w:t>
      </w:r>
    </w:p>
    <w:p>
      <w:r>
        <w:t>Le 5 février 2010, l’OAI a soumis à l’assuré un projet de décision à teneur duquel la rente d’invalidité sera supprimée dès le premier jour du deuxième mois qui suit la notification de la décision. L’entrée en vigueur d’une nouvelle jurisprudence en matière d’appréciation des rapports des COPAI (arrêts I 35/2003, consid. 4.3 et U 373/05, consid. 4.2) a justifié une révision de la rente de l’assuré, les conditions du droit à la rente étant désormais plus strictes. Lors de la décision initiale, l’assuré, qui disposait d’une pleine capacité de travail, a été mis au bénéfice d’une rente d’invalidité entière surtout suite à un rapport du COPAI, à teneur duquel il ne pouvait plus travailler, ce qui était conforme à la pratique de l’époque. Dans le cadre de la révision initiée en 2009, une expertise a été demandée au Dr R_________ et celui-ci a considéré que l’assuré présentait dès 1990 une capacité de travail de 90 à 100% dans une activité adaptée. En comparant les revenus sans et avec invalidité (45'174 fr., respectivement 39'958 fr.), son taux d’invalidité s’élevait à 11.5 % ce qui entraînait l’extinction du droit à une rente.</w:t>
      </w:r>
    </w:p>
    <w:p>
      <w:r>
        <w:rPr>
          <w:b/>
        </w:rPr>
        <w:t>E. 14</w:t>
      </w:r>
    </w:p>
    <w:p>
      <w:r>
        <w:t>Par courriers des 23 février, 3 et 10 mars 2010, l’assuré s’est prononcé sur le projet précité. Il a notamment indiqué qu’il était convoqué le 11 mars à la clinique de neurochirurgie des Hôpitaux Universitaires de Genève (HUG) pour faire le point sur son état de santé. Après 20 ans d’inactivité, conforté par l’octroi d’une rente entière, il ne pouvait se réintégrer sans autre dans le marché du travail. Il concluait donc au maintien de la rente d’invalidité.</w:t>
      </w:r>
    </w:p>
    <w:p>
      <w:r>
        <w:rPr>
          <w:b/>
        </w:rPr>
        <w:t>E. 15</w:t>
      </w:r>
    </w:p>
    <w:p>
      <w:r>
        <w:t>Le projet de décision du 5 février 2010 a été confirmé le 16 mars 2010.</w:t>
      </w:r>
    </w:p>
    <w:p>
      <w:r>
        <w:rPr>
          <w:b/>
        </w:rPr>
        <w:t>E. 16</w:t>
      </w:r>
    </w:p>
    <w:p>
      <w:r>
        <w:t>Le 3 mai 2010, l’assuré a recouru auprès du Tribunal de céans contre la décision précitée. Il considère notamment qu’aucun motif de révision n’est réalisé, une évaluation simplement différente d’une situation restée la même et la modification de directives administratives rendant plus strictes les conditions du droit à une rente n’étant pas suffisantes. Par ailleurs, l’intimé n’a pas tenu compte d’une aggravation de son état de santé.</w:t>
      </w:r>
    </w:p>
    <w:p>
      <w:r>
        <w:t>A/1609/2010 - 6/14 - A l’appui de son recours, l’assuré produit notamment les documents médicaux suivants : − Un rapport d’IRM lombaire du 3 février 2010 a objectivé une hernie discale avec un fragment qui semblait subluxé à gauche, provenant du disque L4-L5, entrant en conflit avec l’émergence de la racine L5 gauche. − Un courrier du 15 mars 2010 du Dr T_________, chef de clinique au service de neurochirurgie des HUG, à teneur duquel une sanction neurochirurgicale devait être envisagée en raison de l’échec du traitement conservateur relatif aux douleurs lombaires et cervicales chroniques avec apparition d’un syndrome radiculaire irritatif modérément déficitaire L5 gauche. − Un courrier du 14 avril 2010 dans lequel le Dr P_________ a rappelé qu’il existait des spondylarthrites à diagnostic difficile (formes incomplètes ou hyperfruste). Le Dr S_________, avec qui le médecin traitant s’est entretenu, a considéré que les lésions décrites dans l’IRM du 2 juin 2010, correspondait à une sacro-illite (entre le stade I et le stade II), qui pouvait se retrouver dans une spondylarthrite ankylosante en traitement de longue date. En outre, une nouvelle affection lombaire était apparue.</w:t>
      </w:r>
    </w:p>
    <w:p>
      <w:r>
        <w:rPr>
          <w:b/>
        </w:rPr>
        <w:t>E. 17</w:t>
      </w:r>
    </w:p>
    <w:p>
      <w:r>
        <w:t>Par courrier du 27 mai 2010, l’intimé relève qu’une nouvelle atteinte est apparue dès fin janvier 2010 chez le recourant selon son médecin traitant de sorte que l’état de santé n’est pas stabilisé et que les répercussions sur la capacité de travail ne sont pas encore évaluables. Il conclut par conséquent au renvoi du dossier pour instruction complémentaire.</w:t>
      </w:r>
    </w:p>
    <w:p>
      <w:r>
        <w:rPr>
          <w:b/>
        </w:rPr>
        <w:t>E. 18</w:t>
      </w:r>
    </w:p>
    <w:p>
      <w:r>
        <w:t>Le 21 juin 2010, le recourant s’est déclaré surpris par la position de l’intimé alors que celui-ci avait été informé de la convocation à la Clinique de neurologie pour un nouveau bilan. Il conclut donc à l’annulation de la décision de l’OAI avec suite de frais et dépens et sans préjudice quant au fond, alternativement à une instruction complémentaire, le cas échéant au moyen d’une expertise pluridisciplinaire.</w:t>
      </w:r>
    </w:p>
    <w:p>
      <w:r>
        <w:rPr>
          <w:b/>
        </w:rPr>
        <w:t>E. 19</w:t>
      </w:r>
    </w:p>
    <w:p>
      <w:r>
        <w:t>Le courrier du recourant a été transmis à l’intimé et la cause gardée à juger.</w:t>
      </w:r>
    </w:p>
    <w:p>
      <w:r>
        <w:t>EN DROIT 1. Conformément à l'art. 56V al. 1 let. a ch. 2 de la loi sur l'organisation judiciaire, du</w:t>
      </w:r>
    </w:p>
    <w:p>
      <w:r>
        <w:rPr>
          <w:b/>
        </w:rPr>
        <w:t>E. 22</w:t>
      </w:r>
    </w:p>
    <w:p>
      <w:r>
        <w:t>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w:t>
      </w:r>
    </w:p>
    <w:p>
      <w:r>
        <w:t>A/1609/2010 - 7/14 - Sa compétence pour juger du cas d’espèce est ainsi établie. 2. La LPGA est entrée en vigueur le 1er janvier 2003 entraînant la modification de nombreuses dispositions légales dans le domaine de l'assurance-invalidité. Elle est applicable en l'espèce, dès lors que la procédure de révision instaurée par l'OAI est postérieure au 1er janvier 2003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S'agissant des modifications de la LAI du 6 octobre 2006 (5ème révision de la LAI), entrées en vigueur le 1er janvier 2008 (à l'exception de l'art.68 quater entrée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356 consid.1 et les arrêts cités). 3. Déposé dans les forme et délai prévus par la loi, le présent recours est recevable (art. 39 al. 1 et 60 al. 2 LPGA). 4. Le litige porte sur le droit de l'OAI de réviser sa décision du 2 août 1991 octroyant une rente d'invalidité entière au recourant. Il s'agit donc de comparer la situation présidant en août 1991 et celle existant en mars 2010, lors de la suppression de la dite rente. 5.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b) Selon l'art. 17 LPGA, si le taux d'invalidité du bénéficiaire de la rente subit une modification notable, la rente est, d'office ou sur demande, révisée pour l'avenir, à savoir augmentée ou réduite en conséquence, ou encore supprimée.</w:t>
      </w:r>
    </w:p>
    <w:p>
      <w:r>
        <w:t>A/1609/2010 - 8/14 -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125 V 369 consid. 2 et la référence; 112 V 372 consid. 2b et 390 consid. 1b). Ainsi, pour examiner s'il y a eu une modification importante du degré d'invalidité au sens de l'art. 17 LPGA, le juge doit généralement prendre en considération l'influence de l'état de santé sur la capacité de gain au moment où fut rendue la décision qui a octroyé ou modifié le droit à la rente ainsi que l'état de fait existant au moment de la décision attaquée. Il convient encore d’ajouter qu'à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Cela est également valable pour une décision faisant suite à une révision d’office du droit à la rente, qui constate que le droit aux prestations ne s'est pas modifié.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Sont des motifs de révision, l'amélioration ou l'aggravation de l'état de santé, la reprise ou l'abandon de l'activité lucrative, l'augmentation ou la baisse du revenu d'invalide, la modification de la capacité d'accomplir les travaux habituels, la modification des critères d'évaluation de l'invalidité (modification du statut), la modification de la situation familiale déterminante lors de l'évaluation de l'invalidité des assurés qui s'occupent du ménage, et la modification de dispositions légales ou réglementaire impliquant des conditions du droit à la rente plus larges ou plus strictes ; ne constituent en revanche pas des motifs de révision la modification provisoire d'un de ces éléments, ou des modifications de directives administratives (cf. directives de l'Office fédéral des assurances sociales, CIIAI, ch. 5005 et ss). De même, un changement de jurisprudence n’est un motif ni de révision procédurale ni de reconsidération. En</w:t>
      </w:r>
    </w:p>
    <w:p>
      <w:r>
        <w:t>A/1609/2010 - 9/14 -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(cf. ATF 129 V 200 consid. 1.2). c) Aux termes de l’art. 88bis al. 2 du règlement du 17 janvier 1961 sur l’assurance- invalidité (RAI), la diminution ou la suppression de la rente ou de l’allocation pour impotent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selon l’art. 77 RAI (let. b).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w:t>
      </w:r>
    </w:p>
    <w:p>
      <w:r>
        <w:t>A/1609/2010 - 10/14 -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d)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t>A/1609/2010 - 11/14 - 7. En l'espèce, aucune modification des faits n’a eu lieu entre la décision initiale et la décision dont est recours, étant précisé que l’intimé n’a pas procédé à un examen matériel lors de la révision de 2004, le fait d’envoyer un formulaire au médecin traitant n’étant pas suffisant (arrêt I_781/04 du 17 février 2005, consid. 5). En effet, il ressort des différentes pièces du dossier que l'état de santé du recourant est stationnaire depuis la première décision, voire qu’il s’est péjoré avec l’apparition, au début de l’année 2010, d’une hernie discale avec un fragment semblant subluxé à gauche, provenant du disque L4-L5 et entrant en conflit avec l’émergence de la racine L5 gauche. 20. Quant à l’expertise du Dr R_________, elle ne saurait disposer d’une quelconque valeur probante. En effet, les diagnostics ont été posés alors que ce praticien n’avait pas réalisé toutes les investigations nécessaires. Or, alors même que l’IRM lombaire a mis en évidence une discopathie dégénérative, ce qui a été confirmé par ce praticien dans son complément d’expertise, il n’a pas modifié ses diagnostics et notamment celui de lombopygialgies récurrentes chroniques sans signe radiculaire irritatif ou déficitaire avec positivation de la sérologie HLA-B27 et absence de discopathie. Quoi qu’il en soit, l’évaluation de la capacité de travail du recourant est superposable à ce qui a d’ores et déjà été retenu par les médecins traitants du recourant en 1991 et en 2004. Il sied en effet de rappeler que les Drs L__________, M__________ et N__________ en 1991 ainsi que le Dr P_________, en 2004, ont tous considéré que le recourant était théoriquement capable d’exercer une activité légère adaptée aux limitations évoquées. Du reste, de l’aveu même de l’intimé, l’assuré a été mis au bénéfice d’une rente d’invalidité entière surtout suite à un rapport du COPAI, à teneur duquel il ne pouvait plus travailler, ce qui était conforme à la pratique de l’époque. En effet, la jurisprudence portant sur le rapport, en cas de divergence, entre les évaluations des COPAI et les constatations médicales n’avait pas encore été rendue lors de la décision initiale de sorte que les conditions du droit à la rente étaient moins strictes. Le fait que cette nouvelle jurisprudence soit dans l’intervalle entrée en vigueur ne constitue pas un motif de révision (ATF 129 V 200 consid. 1.2) contrairement à ce qu’affirme l’intimé dans la décision querellée. Partant, la procédure de révision de l'art. 17 LPGA n'est pas ouverte. 8. Cela étant,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w:t>
      </w:r>
    </w:p>
    <w:p>
      <w:r>
        <w:t>A/1609/2010 - 12/14 -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9C_575/2007 du 18 octobre 2007 consid. 2.2; I 907/06 du 7 mai 2007 consid. 3.2.1). Dans le cas d’espèce, il est établi qu’en 1991, une activité légère était théoriquement exigible du recourant. Toutefois, à l’époque, l’OAI disposait du rapport rédigé à l'issue d'un stage d'observation professionnelle de trois semaines au COPAI à teneur duquel le rendement du recourant dans les diverses activités qui lui étaient proposées n'excédait pas 20 à 30%. Les responsables ont donc estimé qu’il n'avait plus de capacité de travail exploitable dans le circuit économique normal. Les informations du rapport du COPAI du 11 mars 1991 complétaient ainsi utilement les données médicales en montrant sur la base d'activités exercées en ateliers que le recourant n'était à même de mettre en valeur une capacité de travail et de gain sur le marché du travail que de manière très limitée (voir au surplus, à propos du rôle des COPAI pour l'évaluation de l'invalidité: L'instruction des possibilités de gain des personnes prétendant une rente, compte-rendu d'une séance du 10 novembre 1989 consacrée aux problèmes de l'expertise médicale et professionnelle, RCC 1990 p. 59 ss; Karl Abegg, Coup d'œil sur l'activité des centres d'observation professionnelle de l'AI [COPAI], RCC 1985, p. 246 ss). Il résulte de ce qui précède que l'instruction de la demande de prestations à laquelle a procédé l’OAI était suffisante sur les plans médical et socioprofessionnel de sorte que la décision du 8 août 1991 n’était pas erronée ce d’autant plus qu’à l’époque, la jurisprudence sur le rapport en cas de divergence entre les évaluations des COPAI et les documents médicaux n’avait pas encore été rendue. Partant, aucun motif de reconsidération de la décision du 8 août 1991 n’est réalisé. Eu égard à ce qui précède, le recours du 3 mai 2010 sera admis et la cause renvoyée à l’intimé pour qu’il statue dans le sens des présents considérant. La procédure de recours en matière de contestations portant sur l’octroi ou le refus de prestations de l’AI étant soumise à des frais de justice (art. 69 al. 1bis LAI), un émolument de 500</w:t>
      </w:r>
    </w:p>
    <w:p>
      <w:r>
        <w:t>A/1609/2010 - 13/14 - fr. sera mis à la charge de l’intimé. Par ailleurs, le recourant obtenant gain de cause, une indemnité de 1'000 fr. lui est accordée à titre de dépens (art. 61 let. g LPGA).</w:t>
      </w:r>
    </w:p>
    <w:p>
      <w:r>
        <w:t>A/1609/2010 - 14/14 -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