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ATAS/87/2021 vom 9. Februar 2021</w:t>
      </w:r>
    </w:p>
    <w:p>
      <w:r>
        <w:t>GE Cour de justice, 2021-02-09, FR</w:t>
      </w:r>
    </w:p>
    <w:p>
      <w:r>
        <w:rPr>
          <w:b/>
        </w:rPr>
        <w:t xml:space="preserve">Quelle: </w:t>
      </w:r>
      <w:r>
        <w:t>https://mcp.opencaselaw.ch/entscheid/ge_gerichte_ATAS_87_2021</w:t>
      </w:r>
    </w:p>
    <w:p>
      <w:r>
        <w:t>FR: GE_GERICHTE ATAS/87/2021 du 9 février 2021</w:t>
      </w:r>
    </w:p>
    <w:p>
      <w:r>
        <w:t>IT: GE_GERICHTE ATAS/87/2021 del 9 febbraio 2021</w:t>
      </w:r>
    </w:p>
    <w:p>
      <w:pPr>
        <w:pStyle w:val="Heading2"/>
      </w:pPr>
      <w:r>
        <w:t>Erwägungen</w:t>
      </w:r>
    </w:p>
    <w:p>
      <w:r>
        <w:rPr>
          <w:b/>
        </w:rPr>
        <w:t>E. 12</w:t>
      </w:r>
    </w:p>
    <w:p>
      <w:r>
        <w:t>Par ordonnance du 18 septembre 2020, la chambre de céans a requis de l’OCAS de lui transmettre toutes les pièces qui auraient été jointes par l’employeur au sujet de la fermeture de son entreprise.</w:t>
      </w:r>
    </w:p>
    <w:p>
      <w:r>
        <w:rPr>
          <w:b/>
        </w:rPr>
        <w:t>E. 13</w:t>
      </w:r>
    </w:p>
    <w:p>
      <w:r>
        <w:t>Par courrier du 21 octobre 2020, l’OCAS a indiqué ne pas pouvoir donner suite à la requête contenue dans l’ordonnance précitée, faute d’avoir pu retrouver le message d’origine de l’employeur ou ses annexes.</w:t>
      </w:r>
    </w:p>
    <w:p>
      <w:r>
        <w:t>A/1987/2020 - 4/9 -</w:t>
      </w:r>
    </w:p>
    <w:p>
      <w:r>
        <w:rPr>
          <w:b/>
        </w:rPr>
        <w:t>E. 14</w:t>
      </w:r>
    </w:p>
    <w:p>
      <w:r>
        <w:t>Selon l’art. 39 al. 2 LPGA, lorsqu’une partie s’adresse en temps utile à un assureur incompétent, le délai est réputé observé. Cette disposition rappelle une règle générale en matière de procédure administrative, selon laquelle le délai est également considéré comme respecté lorsque l’assuré s’adresse à temps à une autorité incompétente. Il la limite toutefois, dans ce sens que seul le fait de s’adresser à un assureur social incompétent permet de considérer le délai comme respecté, et non pas le fait de s’adresser à n’importe quelle autorité. Il faut cependant interpréter la notion d’« assureur social » dans un sens large et entendre par ces termes toutes les entités organisationnelles qui participent à l’administration d’une ou de plusieurs branches d’assurance sociale. Il peut ainsi s’agir, par exemple, d’une caisse de compensation, d’un office d’assurance-invalidité, d’une caisse de chômage ou d’un assureur-maladie (DUPONT/MOSER-SZELESS, Commentaire romand de la Loi sur la partie générale des assurances sociales, 2018, p. 511, n° 12).</w:t>
      </w:r>
    </w:p>
    <w:p>
      <w:r>
        <w:rPr>
          <w:b/>
        </w:rPr>
        <w:t>E. 15</w:t>
      </w:r>
    </w:p>
    <w:p>
      <w:r>
        <w:t>A teneur de l’art. 46 LPGA, l’assureur social a le devoir d’enregistrer systématiquement tous les documents qui peuvent être déterminants.</w:t>
      </w:r>
    </w:p>
    <w:p>
      <w:r>
        <w:rPr>
          <w:b/>
        </w:rPr>
        <w:t>E. 16</w:t>
      </w:r>
    </w:p>
    <w:p>
      <w:r>
        <w:t>Le Tribunal fédéral a, à diverses reprises, indiqué que le fardeau de la preuve doit exceptionnellement être renversé lorsqu’une partie ne peut pas apporter une preuve pour des raisons qui ne lui sont pas imputables, mais à l’administration. Un tel cas de renversement du fardeau de la preuve a, par exemple, été admis en cas d’absence de preuve quant au respect du délai de recours, due au fait que l’administration ou l’autorité n’ont pas conservé au dossier de l’assuré l’enveloppe dans laquelle leur avait été envoyé l’acte de recours, en violation de leur devoir de gestion du dossier, et ont de ce fait empêché l’apport de la preuve quant au respect du délai de recours (ATF 128 V 218 consid. 8.1.1 p. 223 et les arrêts cités).</w:t>
      </w:r>
    </w:p>
    <w:p>
      <w:r>
        <w:rPr>
          <w:b/>
        </w:rPr>
        <w:t>E. 17</w:t>
      </w:r>
    </w:p>
    <w:p>
      <w:r>
        <w:t>En l’occurrence, le recourant n’a pas été forcé de fermer son entreprise en raison des décisions prises par les autorités qui l’auraient visé directement. En effet son entreprise individuelle n’était pas concernée directement par les ordonnances prises par les autorités. L’intimé lui a octroyé une indemnité en cas de RHT dès le 26 avril 2020, soit dès la date de l’envoi de son préavis. En cela, la décision est conforme à la jurisprudence précitée selon laquelle l’indemnité en cas de RHT est octroyée seulement dès la date du dépôt de la demande et non pas de manière rétroactive.</w:t>
      </w:r>
    </w:p>
    <w:p>
      <w:r>
        <w:t>A/1987/2020 - 7/9 -</w:t>
      </w:r>
    </w:p>
    <w:p>
      <w:r>
        <w:rPr>
          <w:b/>
        </w:rPr>
        <w:t>E. 18</w:t>
      </w:r>
    </w:p>
    <w:p>
      <w:r>
        <w:t>Le recourant a adressé un premier courriel à l’adresse rht@etat.ge.ch le 5 avril 2020. Il ressort du dossier produit par l’intimé que par son courriel du 5 avril 2020, le recourant annonçait la fermeture de son entreprise sans autre information quant à la date d’introduction d’une éventuelle RHT, l’employé visé ou le taux d’activité de ce dernier. Le courriel ne mentionnait pas qu’un préavis de RHT était joint, ce qui ne ressort d’ailleurs pas du dossier en main de l’intimé, lequel ne contient que le préavis daté du 26 avril 2020. Ce premier courriel ne peut dès lors pas être considéré comme une demande de préavis. A la suite de l’envoi de son courriel du 5 avril 2020, l’employeur a reçu, par courriel du lendemain, des informations concernant deux procédures possibles l’une au sujet des RHT avec un lien renvoyant au formulaire et à la procédure et l’autre concernant les APG avec un lien vers un site de l’OCAS et l’adresse apgcovid19@ocas.ch. Le recourant a alors adressé une demande d’APG, à l’adresse apgcovid19@ocas.ch le surlendemain, soit le 6 avril 2020, en lieu et place d’envoyer un préavis de RHT sur le formulaire idoine à l’adresse rht@etat.ge.ch, comme cela ressortait des informations figurant sur le courriel avec les liens pertinents qu’il avait reçu la veille. Le recourant s’est par conséquent trompé d’autorité en faisant valoir son droit à des indemnités pour son employé en s’adressant à apgcovid19@ocas.ch. Cela étant, compte tenu de la démarche qu’il avait faite le 5 avril 2020 en annonçant la fermeture de son entreprise en raison du COVID à l’adresse email rht@etat.ge.ch, il est établi qu’il entendait bien solliciter des indemnités pour RHT. Il a toutefois manifestement mal compris la réponse automatique qu’il a reçue le 6 avril 2020. Cette erreur peut s’expliquer - comme il l’indique - par le fait qu’il n’est pas de langue maternelle française. Elle s’explique également par le fait qu’alors qu’il avait adressé son premier courriel à la bonne adresse email, une réponse automatique provenant de cette même adresse lui indiquait deux options à suivre. Dans la mesure où il avait précisément envoyé sa première demande (bien qu’incomplète) à rht@etat.ge.ch, la réponse automatique pouvait lui apparaître comme un indice qu’il s’était adressé à la fausse autorité et qu’il devait se référer au second lien soit une demande d’APG, ce qu’il a fait le lendemain. La demande d’indemnité APG adressée par courriel du 7 avril 2020 doit en conséquence être assimilée à une demande d’indemnités RHT formée auprès d’un autre assureur. Cet assureur n’a pas conservé de trace du courriel ou des documents transmis par le recourant contrairement à son obligation prévue par l’art. 46 LPGA et ce malgré le fait qu’il a statué et ainsi rejeté la demande du recourant. Le fardeau de la preuve du fait que la demande du recourant était complète n’a donc pas à être supporté par ce dernier. Il sera dès lors admis que le recourant a valablement annoncé la fermeture de son entreprise et sollicité en conséquence des indemnités pour son seul employé, par</w:t>
      </w:r>
    </w:p>
    <w:p>
      <w:r>
        <w:t>A/1987/2020 - 8/9 - envoi du 7 avril 2020, et que sa demande - bien qu’adressée à un autre assureur social - vaut préavis de RHT. Au vu de ce qui précède, le recourant a droit à l’indemnité en cas de RHT dès le 7 avril 2020. Il ne peut en revanche se voir accorder une indemnité avec effet rétroactif au 17 mars 2020, pour les motifs exposés ci-avant.</w:t>
      </w:r>
    </w:p>
    <w:p>
      <w:r>
        <w:rPr>
          <w:b/>
        </w:rPr>
        <w:t>E. 19</w:t>
      </w:r>
    </w:p>
    <w:p>
      <w:r>
        <w:t>En conséquence, le recours sera partiellement admis, la décision litigieuse annulée et il sera dit que le recourant a droit à l’indemnité en cas de RHT dès le 7 avril 2020.</w:t>
      </w:r>
    </w:p>
    <w:p>
      <w:r>
        <w:rPr>
          <w:b/>
        </w:rPr>
        <w:t>E. 20</w:t>
      </w:r>
    </w:p>
    <w:p>
      <w:r>
        <w:t>Pour le surplus, la procédure est gratuite. ***</w:t>
      </w:r>
    </w:p>
    <w:p>
      <w:r>
        <w:t>A/1987/2020 - 9/9 -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