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ATAS/87/2017 vom 7. Februar 2017</w:t>
      </w:r>
    </w:p>
    <w:p>
      <w:r>
        <w:t>GE Cour de justice, 2017-02-07, FR</w:t>
      </w:r>
    </w:p>
    <w:p>
      <w:r>
        <w:rPr>
          <w:b/>
        </w:rPr>
        <w:t xml:space="preserve">Quelle: </w:t>
      </w:r>
      <w:r>
        <w:t>https://mcp.opencaselaw.ch/entscheid/ge_gerichte_ATAS_87_2017</w:t>
      </w:r>
    </w:p>
    <w:p>
      <w:r>
        <w:t>FR: GE_GERICHTE ATAS/87/2017 du 7 février 2017</w:t>
      </w:r>
    </w:p>
    <w:p>
      <w:r>
        <w:t>IT: GE_GERICHTE ATAS/87/2017 del 7 febbraio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w:t>
      </w:r>
    </w:p>
    <w:p>
      <w:r>
        <w:t>A/2320/2016 - 5/16 -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4</w:t>
      </w:r>
    </w:p>
    <w:p>
      <w:r>
        <w:t>Le litige porte sur le droit du SPC de réclamer la restitution à l'intéressée des prestations versées à tort du 1er juin 2009 au 29 février 2016.</w:t>
      </w:r>
    </w:p>
    <w:p>
      <w:r>
        <w:rPr>
          <w:b/>
        </w:rPr>
        <w:t>E. 5</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w:t>
      </w:r>
    </w:p>
    <w:p>
      <w:r>
        <w:t>A/2320/2016 - 6/16 - conditions mises à la restitution - une obligation de restituer (ATF 119 V 431 consid. 2, SVR 1995 IV n° 58 p. 165).</w:t>
      </w:r>
    </w:p>
    <w:p>
      <w:r>
        <w:rPr>
          <w:b/>
        </w:rPr>
        <w:t>E. 6</w:t>
      </w:r>
    </w:p>
    <w:p>
      <w:r>
        <w:t>Dans le cas d'espèce, l'intéressée a omis d'informer le SPC qu’elle était usufruitière d’un bien immobilier sis en Italie, fait dont le SPC n'a, partant, pas tenu compte dans le calcul des prestations qu'il lui a versées. L’argument de la fille de l’intéressée selon lequel sa mère ne lui a jamais parlé de cet usufruit, du fait que « cette maison n’a jamais été mise en location, n’engendrant ainsi aucun revenu quelconque, et que l’usufruit n’est pas imposable ni du point de vue aide sociale ni au niveau des impôts », relève de l'examen de la bonne foi, à effectuer ultérieurement dans le cadre de la demande de remise. Il y a en effet lieu de rappeler que la restitution de prestations vise à rétablir une situation conforme au droit, sans égard à l'éventuelle bonne foi de l'intéressée. Les conditions pour exiger la restitution des prestations indûment perçues sont ainsi remplies.</w:t>
      </w:r>
    </w:p>
    <w:p>
      <w:r>
        <w:rPr>
          <w:b/>
        </w:rPr>
        <w:t>E. 7</w:t>
      </w:r>
    </w:p>
    <w:p>
      <w:r>
        <w:t>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w:t>
      </w:r>
    </w:p>
    <w:p>
      <w:r>
        <w:t>A/2320/2016 - 7/16 -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C 271/04 du 21 mars 2006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8</w:t>
      </w:r>
    </w:p>
    <w:p>
      <w:r>
        <w:t>Selon l’art. 30 de l’ordonnance sur les prestations complémentaires à l’assurance- 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 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(arrêt du Tribunal fédéral P 32/01 du 14 août 2001).</w:t>
      </w:r>
    </w:p>
    <w:p>
      <w:r>
        <w:rPr>
          <w:b/>
        </w:rPr>
        <w:t>E. 9</w:t>
      </w:r>
    </w:p>
    <w:p>
      <w:r>
        <w:t>En l'espèce, l'intéressée ne conteste pas avoir omis d’informer le SPC de l’existence d’un bien immobilier en Italie avant le 5 janvier 2016, date à laquelle l’institut de tutelle et d’assistance aux travailleurs italiens a produit, en son nom, un extrait du registre foncier italien, suite au courrier du SPC du 10 novembre 2015. Il résulte des pièces figurant dans le dossier que ce n'est que le 28 avril 2016 que le SPC a eu en mains tous les justificatifs concernant l’usufruit dont l’intéressée était bénéficiaire.</w:t>
      </w:r>
    </w:p>
    <w:p>
      <w:r>
        <w:t>A/2320/2016 - 8/16 - Selon la jurisprudence, l'obligation du SPC de procéder tous les 4 ans à la révision du dossier ne permet pas de fixer le début du délai de péremption d'un an de l'art. 25 LPGA à la date à laquelle la révision devait avoir lieu. L'omission par l'administration de procéder aux contrôles périodiques prescrits par l'art. 30 OPC- 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(arrêt du Tribunal fédéral P 39/05 du 10 juillet 2006). L'intéressée a régulièrement été invitée à vérifier que les plans de calculs correspondaient à la réalité de sa situation. On ne peut donc pas retenir que le SPC aurait pu et dû, en faisant preuve de diligence, connaître plus tôt l'existence de ce bien immobilier. Le délai de péremption d'un an commençant à courir seulement lorsque le SPC dispose de l'ensemble des éléments permettant de réclamer la restitution des prestations indûment perçues, y compris quant au montant dû, ce qui implique de vérifier, après avoir découvert des avoirs dont il ne connaissait pas l'existence, les autres éléments de calcul des prestations, il s'ensuit que c'est dans le délai de péremption d'une année dès la connaissance de toutes les informations utiles que le SPC a demandé la restitution des prestations versées à tort.</w:t>
      </w:r>
    </w:p>
    <w:p>
      <w:r>
        <w:rPr>
          <w:b/>
        </w:rPr>
        <w:t>E. 10</w:t>
      </w:r>
    </w:p>
    <w:p>
      <w:r>
        <w:t>L'art. 25 al. 2 LPGA prévoit également que « Le droit de demander la restitution s’éteint (…) au plus tard cinq ans après le versement de la prestation. Si la créance naît d’un acte punissable pour lequel le droit pénal prévoit un délai de prescription plus long, celui-ci est déterminant ». Le délai de péremption absolu de cinq ans commence à courir à la date du versement effectif de la prestation (ATF 112 V 180 consid. 4a; 111 V 14 consid. 3).</w:t>
      </w:r>
    </w:p>
    <w:p>
      <w:r>
        <w:rPr>
          <w:b/>
        </w:rPr>
        <w:t>E. 11</w:t>
      </w:r>
    </w:p>
    <w:p>
      <w:r>
        <w:t>En réclamant à l'intéressée le remboursement des prestations versées à tort depuis le 1er juin 2009, le SPC a appliqué le délai de prescription pénal.</w:t>
      </w:r>
    </w:p>
    <w:p>
      <w:r>
        <w:rPr>
          <w:b/>
        </w:rPr>
        <w:t>E. 12</w:t>
      </w:r>
    </w:p>
    <w:p>
      <w:r>
        <w:t>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w:t>
      </w:r>
    </w:p>
    <w:p>
      <w:r>
        <w:t>A/2320/2016 - 9/16 -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À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(arrêt du Tribunal fédéral 8C_592/2007 du 20 août 2008 consid. 5.4.3).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A/2320/2016 - 10/16 -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arrêt du Tribunal fédéral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(arrêt du Tribunal fédéral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(arrêt du Tribunal fédéral 6S.288/2000 du 28 septembre 2000 consid. 4b/bb). En revanche, si le SPC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(arrêt du Tribunal fédéral 6S.288/2000 du 28 septembre 2000 consid. 4b/bb).</w:t>
      </w:r>
    </w:p>
    <w:p>
      <w:r>
        <w:t>A/2320/2016 - 11/16 - Cela étant, un assuré ne peut commettre de tromperie par omission (dissimulation d’un fait vrai) que s'il se trouve dans une position de garant vis-à-vis de l’autorité. En l'absence de contrat ou de rapport de confiance spécial, seule la loi peut le placer dans une telle situation. Dans l’arrêt non publié 6S.288/2000 du 28 septembre 2000 (consid. 4b/bb), après avoir examiné les dispositions légales applicables (art. 5 al. 2 LPC dans sa teneur jusqu’au 31 décembre 1997, art. 20 OPC-AVS/AI, dans sa version en vigueur du 1er janvier 1990 au 1er janvier 1998 et art. 24 OPC-AVS/AI, toujours en vigueur), le Tribunal fédéral a à cet égard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w:t>
      </w:r>
    </w:p>
    <w:p>
      <w:r>
        <w:t>A/2320/2016 - 12/16 -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(arrêt du Tribunal fédéral 6S.288/2000 du 28 septembre 2000). La chambre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chambre de céans a retenu que l'examen de ces deux registres publics était une vérification usuelle et suffisante pour l'adresse, une enquête approfondie n'étant pas systématiquement exigible de l'administration, et le seul moyen de vérification pour la qualité d'administrateur (ATAS/862/2011). Dans un arrêt du 10 janvier 2012, la chambre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(ATAS/3/2012).</w:t>
      </w:r>
    </w:p>
    <w:p>
      <w:r>
        <w:t>A/2320/2016 - 13/16 -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chambre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(ATAS/654/2011). Cet arrêt a cependant été annulé par le TF, au motif que rien ne permettait au SPC d'envisager la modification survenue dans la situation financière de l'assuré (arrêt du Tribunal fédéral 9C_622/2011; cf. également ATAS/914/2012 du 19 juillet 2012). C'est ainsi que, se fondant a contrario sur cet arrêt du TF, la chambre de céans a estimé dans un cas jugé le 9 avril 2013 (ATAS/326/2013) que l'assuré ne s'était pas rendu coupable d'escroquerie, alors qu'il avait tu l'existence d'une rente française, au motif que le SPC avait été informé de ce qu'il était né en France et y avait vécu jusqu'à l'âge de 37 ans, de sorte qu'il y avait beaucoup de chances qu'il soit mis au bénéfice d'une rente française. Or, le SPC n'avait procédé à aucune investigation qui lui aurait permis de se rendre compte de l'existence d'une telle rente.</w:t>
      </w:r>
    </w:p>
    <w:p>
      <w:r>
        <w:rPr>
          <w:b/>
        </w:rPr>
        <w:t>E. 13</w:t>
      </w:r>
    </w:p>
    <w:p>
      <w:r>
        <w:t>En l'espèce, l'intéressée n'a pas déclaré au SPC l’existence d’un bien immobilier sis en Italie dont elle a l’usufruit. Elle a de la sorte violé son obligation d'informer le SPC de tout changement survenu dans sa situation économique et a ainsi commis une tromperie par omission. Il y a à cet égard lieu de rappeler que selon les directives concernant les prestations complémentaires à l’AVS et à l’AI (DPC),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(ch. 3482.12).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w:t>
      </w:r>
    </w:p>
    <w:p>
      <w:r>
        <w:rPr>
          <w:b/>
        </w:rPr>
        <w:t>E. 14</w:t>
      </w:r>
    </w:p>
    <w:p>
      <w:r>
        <w:t>Reste à déterminer si la violation de l’obligation d’informer le SPC est constitutive d'une tromperie astucieuse.</w:t>
      </w:r>
    </w:p>
    <w:p>
      <w:r>
        <w:t>A/2320/2016 - 14/16 - On ne saurait, il est vrai, reprocher au SPC d'avoir fait preuve de négligence puisque celui-ci a satisfait à son obligation d'établir la situation financière de l'assurée (revenus, fortune, dépenses) lors de la détermination initiale du droit aux prestations et que, par la suite, rien ne lui permettait d'envisager la modification survenue. Il y a toutefois lieu de constater, au vu des explications fournies par la fille de l’intéressée, que le fait omis n'est pas un élément de revenu dont cette dernière aurait sciemment caché l'existence au SPC, ce qui explique qu'elle ne lui en ait même pas parlé. Quoi qu'il en soit, le comportement de l'intéressée, qui a certes tu une information déterminante pour l'établissement du montant des prestations qui lui sont versées, ne saurait à lui seul, constituer une tromperie astucieuse, vu l'absence de position de garant de sa part vis-à-vis du SPC (arrêt du Tribunal fédéral du 28 septembre 2000 précité; ATF 127 IV 163, arrêt du Tribunal fédéral du 3 février 2012 précité; arrêt du Tribunal fédéral du 31 août 2012 8C 791/2011). On ne peut au surplus pas lui reprocher de n'avoir pas réagi aux informations générales reçues annuellement et qui mentionnaient le devoir d'annoncer tout changement dans sa situation personnelle et économique, puisque précisément aucun changement n'est à cet égard survenu depuis sa demande de prestations. La chambre de céans estime, au vu de ce qui précède, que l'assurée ne s'est pas rendue coupable d'escroquerie, à défaut de dissimulation astucieuse. Du reste, elle n’a à aucun moment cherché à cacher l’existence des biens immobiliers. Elle a, dès que la question à propos de biens en Italie lui a été posée, transmis, aussi rapidement que la collecte des documents réclamés le lui permettait, les informations à cet égard. En conséquence, la prescription pénale n'est pas applicable en l'espèce. Seul peut être pris en considération le délai de cinq ans prévu à l'art. 25 al. 2 LPGA, de sorte que la demande de restitution portera sur la période débutant le 1er juin 2011, et non pas le 1er juin 2009, tel que retenu par le SPC. Aussi le recours est-il partiellement admis. La décision du 3 juin 2016 est annulée en tant qu'elle réclame la restitution de prestations à compter du 1er juin 2009, et la cause renvoyée au SPC pour nouveau calcul quant au montant versé à tort, compte tenu d’un délai de prescription de cinq ans.</w:t>
      </w:r>
    </w:p>
    <w:p>
      <w:r>
        <w:rPr>
          <w:b/>
        </w:rPr>
        <w:t>E. 15</w:t>
      </w:r>
    </w:p>
    <w:p>
      <w:r>
        <w:t>Il y a enfin lieu de rappeler que la restitution ne peut être exigée lorsque l’intéressé était de bonne foi et qu’elle le mettrait dans une situation difficile (art. 25 al. 1 LPGA). La chambre de céans rappelle que la question de la bonne foi de l'intéressée, de même que celle de la situation financière difficile dans laquelle elle se trouverait si elle devait rembourser les montants perçus à tort, doit faire l'objet d'une demande de remise. Il n'appartient en effet pas à la chambre de céans de se prononcer, au stade de la décision de restitution, sur la bonne foi de l'assurée, ce critère ne pouvant être examiné, le cas échéant, que dans un deuxième temps, dans</w:t>
      </w:r>
    </w:p>
    <w:p>
      <w:r>
        <w:t>A/2320/2016 - 15/16 - le cadre de la procédure de remise, qui fait l'objet d'une procédure distincte de la restitution (ATF 8C_602/2007 du 13 décembre 2007; 264/05 du 25 janvier 2006, consid. 2.1; ATF 132 V 42 consid. 1.2).</w:t>
      </w:r>
    </w:p>
    <w:p>
      <w:r>
        <w:t>A/2320/2016 - 16/16 -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