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ATAS/87/2016 vom 3. Februar 2016</w:t>
      </w:r>
    </w:p>
    <w:p>
      <w:r>
        <w:t>GE Cour de justice, 2016-02-03, FR</w:t>
      </w:r>
    </w:p>
    <w:p>
      <w:r>
        <w:rPr>
          <w:b/>
        </w:rPr>
        <w:t xml:space="preserve">Quelle: </w:t>
      </w:r>
      <w:r>
        <w:t>https://mcp.opencaselaw.ch/entscheid/ge_gerichte_ATAS_87_2016</w:t>
      </w:r>
    </w:p>
    <w:p>
      <w:r>
        <w:t>FR: GE_GERICHTE ATAS/87/2016 du 3 février 2016</w:t>
      </w:r>
    </w:p>
    <w:p>
      <w:r>
        <w:t>IT: GE_GERICHTE ATAS/87/2016 del 3 febbraio 2016</w:t>
      </w:r>
    </w:p>
    <w:p>
      <w:pPr>
        <w:pStyle w:val="Heading2"/>
      </w:pPr>
      <w:r>
        <w:t>Erwägungen</w:t>
      </w:r>
    </w:p>
    <w:p>
      <w:r>
        <w:rPr>
          <w:b/>
        </w:rPr>
        <w:t>E. 1</w:t>
      </w:r>
    </w:p>
    <w:p>
      <w:r>
        <w:t>La chambre de céans a déjà examiné les questions de sa compétence et de la recevabilité du recours dans son arrêt incident du 14 mars 2014 (ATAS/297/2014), de sorte qu'il n'y a pas lieu d'y revenir ici.</w:t>
      </w:r>
    </w:p>
    <w:p>
      <w:r>
        <w:rPr>
          <w:b/>
        </w:rPr>
        <w:t>E. 2</w:t>
      </w:r>
    </w:p>
    <w:p>
      <w:r>
        <w:t>A teneur de l'art. 1 al. 1 de la loi fédérale sur l’assurance-invalidité du 19 juin 1959 (LAI; RS 831.20), les dispositions de la loi fédérale sur la partie générale du droit des assurances sociales, du 6 octobre 2000 (LPGA; RS 830.1) s'appliquent à l'assurance-invalidité, à moins que la loi n'y déroge expressément. Toutefois, les modifications légales contenues dans la LPGA constituent, en règle générale, une version formalisée dans la loi de la jurisprudence relative aux notions</w:t>
      </w:r>
    </w:p>
    <w:p>
      <w:r>
        <w:t>A/580/2014 - 13/25 -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LAI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 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24 janvier 2014, le droit éventuel aux prestations doit être examiné en fonction des modifications de la LAI (4ème et 5ème révisions, révision 6a), entrées en vigueur les 1er janvier 2004, 1er janvier 2008 et 1er janvier 2012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litige porte sur la suppression par voie de révision du droit du recourant à un trois-quarts de rente d’invalidité, plus particulièrement sur le point de savoir s’il existe une modification sensible de son état et/ou de ses conséquences sur sa capacité de gain.</w:t>
      </w:r>
    </w:p>
    <w:p>
      <w:r>
        <w:rPr>
          <w:b/>
        </w:rPr>
        <w:t>E. 5</w:t>
      </w:r>
    </w:p>
    <w:p>
      <w:r>
        <w:t>Aux termes de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w:t>
      </w:r>
    </w:p>
    <w:p>
      <w:r>
        <w:t>A/580/2014 - 14/25 -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Jusqu’au 31 décembre 2003, l’assuré a droit à une rente entière s’il est invalide à 662/3% au moins, à une demi-rente s’il est invalide à 50% au moins, ou à un quart de rente s’il est invalide à 40% au moins (art. 28 al. 1 LAI dans sa version en vigueur jusqu’au 31 décembre 2003), Dès le 1er janvier 2004, l’assuré a droit à une rente entière s’il est invalide à 70% au moins, à un trois-quarts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jusqu’au 31 décembre 2008 puis 28a al. 1 LAI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w:t>
      </w:r>
    </w:p>
    <w:p>
      <w:r>
        <w:t>A/580/2014 - 15/25 - (Ulrich MEYER-BLASER, Bundesgesetz über die Invalidenversicherung, 1997, p. 8).</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w:t>
      </w:r>
    </w:p>
    <w:p>
      <w:r>
        <w:t>A/580/2014 - 16/25 -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Une communication, au sens de l'art. 74ter let. f RAI, a valeur de base de comparaison dans le temps si elle résulte d'un examen matériel du droit à la rente (arrêt du Tribunal fédéral 9C_127/2014 du 15 mai 2014 consid. 2.2 et les références).</w:t>
      </w:r>
    </w:p>
    <w:p>
      <w:r>
        <w:t>A/580/2014 - 17/25 - b) En l’espèce, lors de la décision initiale d’octroi de rente du 18 octobre 2002, l’intimé a reconnu au recourant le droit à une rente entière d’invalidité dès le 1er juin 2000 en raison des séquelles d’une hernie discale L5-S1 droite - apparue aux environs du 7 juin 1999 et traitée par discectomie - se manifestant sous forme de lombalgies aigues et de sciatalgies droites avec des hypoesthésies. Bien que selon le Dr C______, le recourant présentait une capacité de travail exigible de 50% avec diminution de rendement dans une activité adaptée tenant compte des limitations fonctionnelles consistant à éviter les tensions et torsions du rachis ainsi qu’un environnement froid, l’intimé a pris en compte une capacité résiduelle de travail de 27.5 % correspondant à la capacité de travail effective du recourant durant le stage d’observation effectué du 18 février au 12 mai 2002 auprès de la Fondation PRO. En comparant le revenu que le recourant aurait pu réaliser dans son dernier emploi avec celui qu’il pourrait obtenir à 27.5% dans une activité simple et répétitive du secteur de la production, il a retenu un taux d’invalidité de 68%. Dans le cadre de la 4ème révision de la LAI entrée en vigueur le 1er janvier 2004, l’intimé a initié une procédure de révision de rente, le 23 janvier 2004. A cet effet, pour évaluer l’état de santé du recourant, il a uniquement recueilli le questionnaire pour la révision de rente rempli par le recourant et un rapport du Dr C______, sans solliciter l'avis du SMR, lequel s'est contenté de succinctement valider le maintien des éléments d'appréciation ayant abouti à une invalidité de 68%, sans se prononcer spécifiquement sur le rapport du Dr C______. Par conséquent, la décision du 25 mai 2004 remplaçant le droit du recourant à une rente entière par un trois-quarts de rente en raison des nouvelles dispositions législatives ne repose pas sur un examen matériel du droit à la rente. Lors de la deuxième procédure de révision de rente initiée le 16 décembre 2009, l'intimé a conclu à l'absence de toute modification de l'état de santé sur la seule base du rapport établi par le médecin traitant et du questionnaire rempli par le recourant, sans requérir l'avis du SMR. Par conséquent, la communication du 29 mars 2010 confirmant le maintien inchangé du droit à la rente ne repose pas davantage sur un examen matériel du droit à la rente, faute d’une appréciation des preuves et d’une nouvelle évaluation de l'invalidité. En définitive, pour déterminer si et depuis quand le degré d'invalidité s’est modifié notablement au sens de l’art. 17 LPGA, il convient de comparer les faits existant au moment de la décision initiale de rente du 18 octobre 2002, entrée en force, avec les circonstances fondant la décision litigieuse du 24 janvier 2014. Cette dernière décision repose d’un point de vue médical notamment sur le rapport d’expertise du Dr G______ du 3 mars 2012. Par conséquent, avant de comparer la situation sur le plan médical existant au moment des deux décisions, il convient d’examiner si cette expertise a une valeur probante.</w:t>
      </w:r>
    </w:p>
    <w:p>
      <w:r>
        <w:rPr>
          <w:b/>
        </w:rPr>
        <w:t>E. 9</w:t>
      </w:r>
    </w:p>
    <w:p>
      <w:r>
        <w:t>a) Dans ledit rapport, le Dr G______ diagnostique des lombosciatalgies chroniques droites avec un syndrome radiculaire S1 déficitaire et un status après cure de hernie</w:t>
      </w:r>
    </w:p>
    <w:p>
      <w:r>
        <w:t>A/580/2014 - 18/25 - discale L5-S1 droite. D’après lui, l'IRM du 17 novembre 2011 démontre une amélioration par rapport à l'IRM du 13 décembre 2001 au vu de la disparition de la fibrose entourant la racine S1 droite et l'absence de récidive herniaire. Il retient une capacité de travail nulle dans l’activité de préparateur de voitures depuis juin 1999 et une capacité de travail entière dès le 17 novembre 2011, sans diminution de rendement, dans une activité adaptée sans port de charges de plus de cinq/dix kilos, sans mouvements répétés en flexion du rachis, sans position en porte à faux du rachis et avec possibilité de changer de position toutes les heures. Dans son complément d’expertise du 6 juillet 2015, le Dr G______ précise que l’état de santé du recourant s’est amélioré entre 2002 et son examen du 10 novembre 2011 au vu également de la disparition de l’atteinte de la sensibilité de la jambe droite, que la limitation du port de charges est de cinq kilos et que le diagnostic retenu n’entraîne pas en lui-même de diminution de rendement au vu des limitations fonctionnelles admises. Il explique n’avoir pas retenu le diagnostic radiologique de lipomatose mentionné dans le rapport d’IRM du 18 novembre 2011 au motif que l’excès modéré de développement de masse de nature graisseuse à l’intérieur du canal rachidien ne comprime pas la racine nerveuse, de sorte qu’il ne peut pas produire de douleurs, alors que la lipomatose n’est pathogène que si elle comprime le nerf. Il ajoute que, dans la mesure où le Dr B______ a prescrit un corset trois points pour stabiliser la vertèbre L5 et que ce test s’est révélé positif avec une nette diminution des douleurs, ce succès ouvre la possibilité d’une nouvelle prise en charge chirurgicale sous forme de spondylodèse. Il confirme avoir intégré la présence de l’instabilité vertébrale dans son appréciation de la capacité de travail et de rendement. Le rapport d’expertise et le complément d’expertise ont été établis après étude de toutes les pièces du dossier et après mise en œuvre d’une nouvelle IRM lombaire le 17 novembre 2011. Ils contiennent un résumé du dossier, une anamnèse détaillée, les plaintes du recourant, des observations cliniques, une description de l’évolution de l’état de santé du recourant depuis 2001 jusqu’au jour de l’examen, une évaluation de la capacité de travail dans l’activité habituelle et dans une activité adaptée ainsi qu’une description des limitations fonctionnelles. Dans son complément, l’expert explique en quoi l’état de santé du recourant s’est amélioré et en quoi la lipomatose mise en évidence par l’IRM du 17 novembre 2011 n’est pas invalidante. Les évaluations de l’expert sont motivées et se réfèrent à ses constatations cliniques ainsi qu’aux résultats de l’IRM du 17 novembre 2011. b) En outre, le Dr G______ pose pour l’essentiel les mêmes diagnostics et procède à la même évaluation de la capacité résiduelle de travail du recourant que le Dr J______. En effet, dans ses rapports des 20 mars et 6 mai 2014, le rhumatologue des HUG diagnostique des lombosciatalgies chroniques droites non déficitaires avec status après cure de hernie discale L5-S1 droite et des rachialgies diffuses chroniques. A l’examen clinique, il constate une statique du rachis conservée avec une mobilité lombaire correcte, un réflexe achilléen droit aboli, l’absence de</w:t>
      </w:r>
    </w:p>
    <w:p>
      <w:r>
        <w:t>A/580/2014 - 19/25 - franche contraction musculaire à la palpation lombaire et de la fesse droite ainsi que l’absence de Lasègue ou de rétro Lasègue. Il précise que l’IRM lombaire de septembre 2013 confirme une discopathie L5-S1 sans signe de conflit radiculaire, une discrète réaction inflammatoire en regard du plateau vertébral, une lipomatose épidurale L5-S1 modérée et une petite surcharge des articulaires postérieures bilatérales dans la colonne lombaire basse. Il estime la capacité de travail du recourant dans une activité adaptée à probablement 100% même en présence de douleurs, au vu de l’absence de franche limitation fonctionnelle. c) Le recourant conteste les conclusions de l’expert au vu du rapport du Dr C______ du 19 avril 2011 faisant état d’un état de santé stationnaire et d’une incapacité de travail totale. Effectivement, dans le rapport du 19 avril 2011 et son annexe du 20 avril 2011, le médecin traitant indique que lors de son dernier examen du 6 avril 2011, il a constaté un état de santé stationnaire, que les diagnostics sont inchangés, que les limitations fonctionnelles consistent en une raideur lombaire, une boiterie et un pied tombant légèrement, que la capacité de travail est nulle et qu’une reprise de travail n’est pas possible actuellement. Toutefois, dans ledit rapport et son annexe, le Dr C______ ne motive pas les raisons qui le conduisent à reconnaître un état de santé stationnaire, des diagnostics inchangés, une incapacité totale de travail dans toute activité et une impossibilité de reprise de travail. Par conséquent, son évaluation n’a pas de valeur probante. En définitive, il n’existe aucune opinion médicale pertinente contraire qui mette en évidence des éléments objectivement vérifiables - de nature notamment clinique ou diagnostique – ayant été ignorés dans le cadre de l’expertise et qui soit apte à sérieusement mettre en doute les conclusions du Dr G______.</w:t>
      </w:r>
    </w:p>
    <w:p>
      <w:r>
        <w:rPr>
          <w:b/>
        </w:rPr>
        <w:t>E. 10</w:t>
      </w:r>
    </w:p>
    <w:p>
      <w:r>
        <w:t>novembre 2011 et en quoi la lipomatose mise en évidence par l’IRM du 17 novembre 2011 n’est pas pathologique. Par conséquent, contrairement à ce que soutient le recourant, les diagnostics posés en 2001 et 2011 ne sont pas strictement identiques puisque la fibrose entourant la racine S1 droite et provoquant une tuméfaction de ladite racine, présente en 2001, n’existe plus en 2011. Il en va de même de l’atteinte de la sensibilité de la jambe droite. La chambre de céans ne discerne pas davantage en quoi les limitations fonctionnelles retenues par l’expert, notamment la nécessité d’alterner les positions assise et debout une fois par heure serait en contradiction avec l’absence de diminution de rendement. En effet, la nécessité d’alterner les positions ne saurait rendre illusoire la mise en valeur de la capacité de travail entière du recourant (arrêt du Tribunal fédéral 9C_749/2007 du 25 juin 2008 consid. 2.1 et 2.2). Ainsi, dans un arrêt du 17 février 2005 (I 1/04 consid. 3.2), le Tribunal fédéral a jugé qu’un assuré souffrant de troubles du rachis et de gonalgies avec des limitations fonctionnelles similaires à celles du recourant (alterner les positions assis-debout, ne pas porter de charges à l'exception de charges occasionnelles n'excédant pas dix kilos, ne pas effectuer de travaux lourds ou encore une marche de plus d'une vingtaine de minutes, et éviter les travaux sur une échelle ou sur un sol irrégulier) peut exercer une activité adaptée à plein temps avec des pauses standards. c) S’agissant de la contradiction concernant le rendement entre les conclusions de l’expert et celles du stage d’observation,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w:t>
      </w:r>
    </w:p>
    <w:p>
      <w:r>
        <w:t>A/580/2014 - 21/25 -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Or, en l’occurrence, dans le rapport du 31 octobre 2013, les maîtres du stage d’orientation professionnelle - accompli du 15 juillet au 13 octobre 2013 à 100% jusqu’au 8 septembre 2013, puis à 50% dès le 9 septembre 2013 - observent que le recourant a atteint un rendement de 80% après une période d’apprentissage. Ils relèvent une attitude démonstrative du recourant qui n’adopte pas les postures antalgiques facilitant son retour vers le marché de l’emploi ordinaire, un blocage pour augmenter ses rendements (autolimitation) et un comportement peu collaborant de sa part en tant qu’il ne souhaite pas participer à la réalisation d’un projet professionnel, son objectif étant de garder sa rente. Dans son rapport d’expertise et son complément, le Dr G______ mentionne des signes de non organicité (le recourant ne charge pas son membre inférieur droit en étant debout en position immobile alors qu’il le charge en marchant, la musculature du membre inférieur droit est plus importante à droite qu’à gauche ce qui démontre chez un droitier l’absence d’épargne du membre inférieur droit, il ne peut pas lever la jambe droite à plus de 30° mais est en mesure de se lever du lit d’examen en effectuant une flexion du rachis de 90°). Par conséquent, tant les maîtres de réadaptation que l’expert ont relevé les mêmes signes d’autolimitation ou de non organicité, toutefois les premiers n’en ont pas tenu compte lors de leur évaluation du rendement, leur tâche étant de constater le rendement effectif de l’assuré et non son rendement exigible, alors que l’expert les a inclus dans son appréciation, son mandat consistant à évaluer une capacité de travail, respectivement un rendement raisonnablement exigible. Au vu des explications convaincantes de l’expert et qui reposent sur des éléments concrets vérifiables, il n’y aucune contradiction entre son évaluation et celle des maîtres professionnels. d) En définitive, le rapport d’expertise ainsi que le complément d’expertise remplissent tous les critères formels et matériels permettant de leur reconnaître une pleine valeur probante, de sorte que la chambre de céans suivra leurs conclusions, à savoir que l’état de santé du recourant s’est amélioré depuis le 17 novembre 2011 et qu’il ne subit ni incapacité de travail, ni diminution de rendement dans une activité adaptée à ses limitations.</w:t>
      </w:r>
    </w:p>
    <w:p>
      <w:r>
        <w:rPr>
          <w:b/>
        </w:rPr>
        <w:t>E. 11</w:t>
      </w:r>
    </w:p>
    <w:p>
      <w:r>
        <w:t>La recourante conclut, à titre subsidiaire, à la mise en œuvre d’une contre-expertise rhumatologique et d’une expertise neurologique.</w:t>
      </w:r>
    </w:p>
    <w:p>
      <w:r>
        <w:t>A/580/2014 - 22/25 -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l’occurrence, les pièces versées au dossier permettent de statuer en pleine connaissance de cause sur le présent litige. Par conséquent, la mise en œuvre d'une expertise supplémentaire s'avère superflue par appréciation anticipée des preuves. Aussi, il n'y a pas lieu de donner suite à la demande d'instruction complémentaire.</w:t>
      </w:r>
    </w:p>
    <w:p>
      <w:r>
        <w:rPr>
          <w:b/>
        </w:rPr>
        <w:t>E. 12</w:t>
      </w:r>
    </w:p>
    <w:p>
      <w:r>
        <w:t>Etant donné que l’état de santé du recourant s’est notablement amélioré depuis la décision initiale de rente du 18 octobre 2002, en raison de la disparition tant de la fibrose que de l’atteinte de la sensibilité de la jambe droite et que sa capacité de travail, qui était nulle dès le 9 juin 1999, est de 100% depuis le 17 novembre 2011 selon l’expertise, les conditions prévues par l’art. 17 LPGA pour une révision de la rente d’invalidité sont réalisées depuis le 17 novembre 2011.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6.1). En effet, s’il existe un motif de révision, l’administration doit selon la pratique actuelle du Tribunal fédéral examiner le droit à la rente sous tous ses aspects de fait et de droit sans être liée par les appréciations précédentes (ATF 141 V 9 consid. 2.3; ATF 117 V 198 consid. 4b). En l’espèce, même si lors de l’octroi initial de rente, l’intimé a fixé le degré d’invalidité en tenant compte d’un revenu d’invalide établi en fonction du taux de la capacité résiduelle de travail ressortant des conclusions du stage d’observation professionnelle et non pas des conclusions médicales, au vu de la jurisprudence susmentionnée, il convient d’examiner le droit à la rente sans référence à des évaluations antérieures de l’invalidité. Aussi, dans la mesure où le recourant ne conteste pas, à juste titre, le calcul du taux d’invalidité effectué par l’intimé et aboutissant à un résultat de 6%, il n’y a pas lieu de procéder à un nouvel examen du degré d’invalidité en l’absence d’éléments permettant de douter de son exactitude.</w:t>
      </w:r>
    </w:p>
    <w:p>
      <w:r>
        <w:rPr>
          <w:b/>
        </w:rPr>
        <w:t>E. 13</w:t>
      </w:r>
    </w:p>
    <w:p>
      <w:r>
        <w:t>Dans un dernier moyen, le recourant conclut à l’octroi d’une aide au placement. a) Aux termes de l'art. 18 al. 1 LAI, l'assuré présentant une incapacité de travail et susceptible d'être réadapté a droit : a) à un soutien actif dans la recherche d'un emploi approprié; b) à un conseil suivi afin de conserver un emploi.</w:t>
      </w:r>
    </w:p>
    <w:p>
      <w:r>
        <w:t>A/580/2014 - 23/25 -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c) En l’espèce, le recourant a déjà bénéficié d’une mesure d’observation professionnelle. En outre, il dispose d’une capacité de travail entière dans une activité adaptée à ses limitations fonctionnelles lui permettant uniquement d’exercer des activités légères. Or,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w:t>
      </w:r>
    </w:p>
    <w:p>
      <w:r>
        <w:rPr>
          <w:b/>
        </w:rPr>
        <w:t>E. 15</w:t>
      </w:r>
    </w:p>
    <w:p>
      <w:r>
        <w:t>années d'allocation de la rente ou de l'accomplissement de la 55ème année sont réalisés doit être examiné par rapport au moment du prononcé de la décision de suppression de la rente ou à celui à partir duquel cette prestation a été supprimée (ATF 141 5 consid. 4). En l’espèce, le recourant a perçu une rente du 1er juin 2000 au 28 février 2014, soit pendant moins de quinze ans. En outre, au jour de la décision de suppression de rente, il était âgé de 48 ans. Par conséquent, il n’appartient pas à cette catégorie d'assurés dont il convient de présumer qu'ils ne peuvent en principe pas entreprendre de leur propre chef tout ce que l'on peut raisonnablement attendre d'eux pour tirer profit de leur capacité résiduelle de travail. 14. Au vu de ce qui précède, le recours est rejeté. Le recourant étant au bénéfice de l’assistance juridique, il sera renoncé à percevoir un émolument.</w:t>
      </w:r>
    </w:p>
    <w:p>
      <w:r>
        <w:t>A/580/2014 - 25/25 -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