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ATAS/87/2012 vom 6. Februar 2012</w:t>
      </w:r>
    </w:p>
    <w:p>
      <w:r>
        <w:t>GE Cour de justice, 2012-02-06, FR</w:t>
      </w:r>
    </w:p>
    <w:p>
      <w:r>
        <w:rPr>
          <w:b/>
        </w:rPr>
        <w:t xml:space="preserve">Quelle: </w:t>
      </w:r>
      <w:r>
        <w:t>https://mcp.opencaselaw.ch/entscheid/ge_gerichte_ATAS_87_2012</w:t>
      </w:r>
    </w:p>
    <w:p>
      <w:r>
        <w:t>FR: GE_GERICHTE ATAS/87/2012 du 6 février 2012</w:t>
      </w:r>
    </w:p>
    <w:p>
      <w:r>
        <w:t>IT: GE_GERICHTE ATAS/87/2012 del 6 febbraio 2012</w:t>
      </w:r>
    </w:p>
    <w:p>
      <w:pPr>
        <w:pStyle w:val="Heading2"/>
      </w:pPr>
      <w:r>
        <w:t>Volltext</w:t>
      </w:r>
    </w:p>
    <w:p>
      <w:r>
        <w:t>Siégeant : Florence KRAUSKOPF, Présidente; Christine TARRIT-DESHUSSES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A/4434/2011 ATAS/87/2012 COUR DE JUSTICE Chambre des assurances sociales Arrêt du 6 février 2012 9ème Chambre</w:t>
      </w:r>
    </w:p>
    <w:p>
      <w:r>
        <w:t>En la cause Madame B__________, domiciliée à Carouge recourante contre CAISSE CANTONALE GENEVOISE DE COMPENSATION, Service juridique, sise Route de Chêne 54, 1208 Genève intimée</w:t>
      </w:r>
    </w:p>
    <w:p>
      <w:r>
        <w:t>A/4434/2011 - 2/2 - Vu la décision rendue le 30 novembre 2011 par la Caisse cantonale de compensation fixant le montant de la taxe professionnelle 2011 dû par Madame B__________ à 24 fr.; Vu le recours formé par cette dernière exposant qu'elle a quitté son activité le 1er juin 2011; Vu le courrier du 26 janvier 2012 de la Caisse cantonale de compensation indiquant avoir annulé la décision du 30 novembre 2011; Attendu que l'annulation de la décision querellée rend sans objet le recours; Qu'il convient de le constater. PAR CES MOTIFS, LA CHAMBRE DES ASSURANCES SOCIALES :</w:t>
      </w:r>
    </w:p>
    <w:p>
      <w:r>
        <w:t>Dit que le recours est sans objet.</w:t>
      </w:r>
    </w:p>
    <w:p>
      <w:r>
        <w:t>Raye la cause du rôle.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Florence KRAUSKOPF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