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ATAS/87/2011 vom 27. November 2010</w:t>
      </w:r>
    </w:p>
    <w:p>
      <w:r>
        <w:t>GE Cour de justice, 2010-11-27, FR</w:t>
      </w:r>
    </w:p>
    <w:p>
      <w:r>
        <w:rPr>
          <w:b/>
        </w:rPr>
        <w:t xml:space="preserve">Quelle: </w:t>
      </w:r>
      <w:r>
        <w:t>https://mcp.opencaselaw.ch/entscheid/ge_gerichte_ATAS_87_2011</w:t>
      </w:r>
    </w:p>
    <w:p>
      <w:r>
        <w:t>FR: GE_GERICHTE ATAS/87/2011 du 27 novembre 2010</w:t>
      </w:r>
    </w:p>
    <w:p>
      <w:r>
        <w:t>IT: GE_GERICHTE ATAS/87/2011 del 27 novembre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recevable. Au fond :</w:t>
      </w:r>
    </w:p>
    <w:p>
      <w:r>
        <w:rPr>
          <w:b/>
        </w:rPr>
        <w:t>E. 2</w:t>
      </w:r>
    </w:p>
    <w:p>
      <w:r>
        <w:t>L’admet, sur proposition de l’intimée, et annule la décision du 27 novembre 2010.</w:t>
      </w:r>
    </w:p>
    <w:p>
      <w:r>
        <w:rPr>
          <w:b/>
        </w:rPr>
        <w:t>E. 3</w:t>
      </w:r>
    </w:p>
    <w:p>
      <w:r>
        <w:t>Dit que le montant de la taxe professionnelle 2010 due par Monsieur G__________ s’élève à 1'764 fr. (88 x 21).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