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ATAS/879/2011 vom 26. September 2011</w:t>
      </w:r>
    </w:p>
    <w:p>
      <w:r>
        <w:t>GE Cour de justice, 2011-09-26, FR</w:t>
      </w:r>
    </w:p>
    <w:p>
      <w:r>
        <w:rPr>
          <w:b/>
        </w:rPr>
        <w:t xml:space="preserve">Quelle: </w:t>
      </w:r>
      <w:r>
        <w:t>https://mcp.opencaselaw.ch/entscheid/ge_gerichte_ATAS_879_2011</w:t>
      </w:r>
    </w:p>
    <w:p>
      <w:r>
        <w:t>FR: GE_GERICHTE ATAS/879/2011 du 26 septembre 2011</w:t>
      </w:r>
    </w:p>
    <w:p>
      <w:r>
        <w:t>IT: GE_GERICHTE ATAS/879/2011 del 26 settembre 2011</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En l’espèce, le juge de première instance a ordonné le partage par moitié des avoirs de prévoyance des demandeurs. Les dates pertinentes sont, d’une part, celle du mariage, le 14 février 2003, d’autre part le 1er juin 2011, date à laquelle le jugement de divorce est devenu exécutoire. Selon les documents produits, la prestation acquise pendant le mariage par M. M__________ est de 38'463 fr. 45 (auprès de SWISSSTAFFING FONDATION 2ème PILIER) tandis que celle acquise par Mme M__________ est de 7'096 fr. 25 (soit 1'423 fr. 25 auprès de la CEH, 4'769 fr. 40 auprès d'HOTELA FONDS DE PREVOYANCE et 903 fr. 60 auprès de la FONDATION INSTITUTION SUPPLETIVE LPP, les intérêts ayant déjà été calculés par les institutions de prévoyance défenderesses. Ainsi M. M__________ doit à son ex- épouse le montant de 19'231 fr. 70 (38'463 fr. 45 : 2) et celle-ci lui doit le montant</w:t>
      </w:r>
    </w:p>
    <w:p>
      <w:r>
        <w:t>A/1907/2011 - 5/6 - de 3'548 fr. 10 (7'096 fr. 25 : 2), de sorte que c’est M. M__________ qui doit à Mme M__________ le montant de 15'683 fr. 60.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A/1907/2011 - 6/6 -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