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ATAS/879/2009 vom 7. Juli 2009</w:t>
      </w:r>
    </w:p>
    <w:p>
      <w:r>
        <w:t>GE Cour de justice, 2009-07-07, FR</w:t>
      </w:r>
    </w:p>
    <w:p>
      <w:r>
        <w:rPr>
          <w:b/>
        </w:rPr>
        <w:t xml:space="preserve">Quelle: </w:t>
      </w:r>
      <w:r>
        <w:t>https://mcp.opencaselaw.ch/entscheid/ge_gerichte_ATAS_879_2009</w:t>
      </w:r>
    </w:p>
    <w:p>
      <w:r>
        <w:t>FR: GE_GERICHTE ATAS/879/2009 du 7 juillet 2009</w:t>
      </w:r>
    </w:p>
    <w:p>
      <w:r>
        <w:t>IT: GE_GERICHTE ATAS/879/2009 del 7 luglio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octobre 2000 sur la partie générale du droit des assurances sociales (LPGA ; RS 830.1) qui sont relatives à la loi fédérale du 19 juin 1959 sur l’assurance-invalidité (LAI ; RS 831.20). Sa compétence pour juger du cas d’espèce est ainsi établie.</w:t>
      </w:r>
    </w:p>
    <w:p>
      <w:r>
        <w:t>A/247/2009 - 8/14 - 2. 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(4e révision), entrées en vigueur le 1er janvier 2004 (RO 2003 3852), et celles de la novelle du 6 octobre 2006 (5e révision), entrées en vigueur le 1er janvier 2008, sont régies par ce principe. D’autre part,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3. Interjeté dans les forme et délai prévus par la loi (art. 38 et 56 ss LPGA), le recours déposé au guichet du Tribunal de céans le 26 janvier 2009 est recevable. 4. Le litige porte sur la révision du droit de la recourante au versement d’une demi- rente d’invalidité, motif pris de l’aggravation de son état de santé. 5. En vertu de l’art. 28 al. 2 LAI, dans sa teneur en vigueur depuis le 1er janvier 2008, l’assuré a droit à une rente entière s’il est invalide à 70% au moins, à trois quarts de rente s’il est invalide à 60% au moins, à une demi-rente s’il est invalide à 50% au moins ou à un quart de rente s’il est invalide à 40% au moins. Selon l’art. 17 al. 1er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A/247/2009 - 9/14 - degré d’invalidité lors d’une nouvelle révision de la rente (ATF 133 V 108 consid. 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Pour le surplus,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 En l’espèce, la dernière décision qui reposait sur un examen matériel du droit à la rente conforme aux prescriptions qui viennent d’être rappelées a été rendue par l’OCAI le 16 août 2006, de sorte qu’il convient d’examiner la question de savoir si un changement notable des circonstances s’est produit entre cette date et le</w:t>
      </w:r>
    </w:p>
    <w:p>
      <w:r>
        <w:rPr>
          <w:b/>
        </w:rPr>
        <w:t>E. 11</w:t>
      </w:r>
    </w:p>
    <w:p>
      <w:r>
        <w:t>décembre 2008, les faits survenus postérieurement devant cependant être pris en considération s’ils sont étroitement liés à l’objet du litige et de nature à influencer l’appréciation au moment où la décision attaquée a été rendue. Il apparaît à cet égard que les avis exprimés par les docteurs O____________, P____________, M____________ et N____________ diffèrent quant aux conséquences des troubles somatiques et psychiques constatés, de sorte qu’il convient d’en examiner brièvement les mérites respectifs. 6. En cas de rapports médicaux contradictoires, le juge ne peut en effet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w:t>
      </w:r>
    </w:p>
    <w:p>
      <w:r>
        <w:t>A/247/2009 - 10/14 - généralement enclin, en cas de doute, à prendre parti pour son patient en raison de la relation de confiance qui l’unit à lui (ATF 125 V 351 consid. 3b/bb et cc). Enfin, le juge peut accorder pleine valeur probante aux rapports et expertises établis par les médecins des assureurs (ou de l’administration)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(ou à l’administration)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ATFA non publié du 13 mars 2000, I 592/99, consid. b/ee). Dans le cas d’espèce, il apparaît qu’au regard des principes qui viennent d’être rappelés seul le rapport d’expertise établi par les docteurs O____________ et P____________ le 29 septembre 2008 remplit les conditions de forme et de fond posées par la jurisprudence pour en admettre la pleine valeur probante. L’expertise conduite par ces praticiens se fonde notamment sur des examens physiques et psychiques étendus, sur une anamnèse personnelle, professionnelle et sociale détaillée, sur les plaintes exprimées par la recourante et sur une description soigneuse des interférences médicales, de sorte que l’appréciation du cas est cohérente et digne de foi. En revanche, le rapport médical établi le 11 avril 2007 par le docteur M____________ ne présente pas les mêmes garanties. En particulier, ce praticien se borne à constater que la situation médicale de la recourante s’était péjorée sans préciser les termes de la comparaison à laquelle il s’est livré. Il n’explique pas davantage en quoi ses propres constatations cliniques, substantiellement identiques à celles de ses confrères, devraient avoir pour conséquences une incapacité totale de travail. En conséquence, il convient d’accorder une moindre valeur probante à son rapport. Il en va de même en ce qui concerne les rapports médicaux du docteur N____________-DESLARZES, en considération du fait qu’en sa qualité de médecin traitant, elle a tissé une relation de confiance étroite avec sa patiente, susceptible d’influencer sensiblement le contenu de ses propos en l’amenant à accorder une importance excessive aux plaintes subjectives recueillies. 7. Sur le fond, l’art. 88a al. 2, 1ère phrase du règlement fédéral du 17 janvier 1961 sur l’assurance-invalidité (RAI ; RS 831.201) prévoit notamment que si l’incapacité de gain ou le besoin de soins découlant de l’invalidité d’un assuré s’aggrave, il y a lieu</w:t>
      </w:r>
    </w:p>
    <w:p>
      <w:r>
        <w:t>A/247/2009 - 11/14 - de considérer que ce changement accroît, le cas échéant, son droit aux prestations dès qu’il a duré trois mois sans interruption notable. Cela étant, il sied ici de rappeler que l’art. 7 al. 1er LAI, dans sa teneur en vigueur depuis le 1er janvier 2008, prévoit notamment que l’assuré doit entreprendre tout ce qui peut être raisonnablement exigé de lui pour réduire la durée et l’étendue de l’incapacité de travail. De ce devoir général découle en particulier le principe de la primauté de la réadaptation sur la rente, ancré à l’art. 28 al. 1er let. a LAI, selon lequel un assuré n’a pas droit à tout ou partie d’une rente lorsqu’il serait en mesure, au besoin en changeant de profession, d’obtenir un revenu en mettant à profit sa capacité résiduelle de travail (sur le principe général du droit des assurances sociales, voir ATF 117 V 275 consid. 2 et les références). En l’espèce, l’instruction de la cause a permis d’établir qu’en 2006, l’incapacité de travail de la recourante était essentiellement due au fait qu’étant enceinte, celle-ci avait dû limiter le traitement de la spondylarthrite ankylosante. À cet égard, la décision que l’intimé a rendue le 16 août 2006 fait clairement la distinction entre les limitations dues à la maladie et les limitations dues à la maternité, qu’il convient en effet de différencier soigneusement. S’agissant des premières uniquement, force est de constater que les indices recueillis depuis lors ne permettent pas de trancher la question de savoir si l’augmentation des troubles rapportée par les médecins consultés correspondait à une aggravation de la maladie ou aux conséquences, après l’accouchement, de la nécessaire diminution du traitement. En toute hypothèse, l’incapacité totale de travail de la recourante était alors justifiée par les conséquences de sa maternité, lesquelles ont été prises en charge conformément à la réglementation applicable en la matière. Par la suite, c’est-à-dire entre le terme du congé-maternité et l’automne 2007, les avis médicaux divergent quant aux conséquences des troubles éprouvés par la recourante, de sorte qu’en application des principes rappelés plus haut, il y a lieu de faire prévaloir l’avis des experts selon lequel, la capacité de travail de la recourante était, sauf en cas de poussée inflammatoire, de 50%. À l’automne 2007, le docteur N____________ a constaté une amélioration de l’état de santé de sa patiente, due à l’efficacité du traitement de fond prodigué depuis le mois de mars précédent puis, en juillet 2008, une nouvelle détérioration. Il sied à cet égard de relever que les experts ont réalisé l’examen clinique de la recourante à la fin du mois d’août 2008 et qu’en l’absence d’un constat de leur part sur ce point, il convient de retenir que ladite détérioration n’a pas été rendue vraisemblable à satisfaction de droit. L’on relèvera en outre qu’il était malaisé, en l’absence d’examens plus approfondis et sur la seule base des plaintes subjectives de</w:t>
      </w:r>
    </w:p>
    <w:p>
      <w:r>
        <w:t>A/247/2009 - 12/14 - l’intéressée, de distinguer une poussée inflammatoire d’une aggravation de la maladie proprement dite. En résumé, les successives détérioration, amélioration et détérioration de l’état de santé de la recourante, décrites respectivement au printemps 2007 (par le docteur M____________), à l’automne 2007 et en juillet 2008 (par le docteur N____________), pouvaient aussi bien correspondre à l’apparition, à la disparition et à la réapparition des poussées inflammatoires redoutées, de sorte que faute d’indices suffisants relativement à la durée de ces différentes phases, il y a lieu de considérer ici encore que la capacité de travail de la recourante, bien que labile, était en règle générale de 50%. En revanche, il a été établi, au degré de vraisemblance prépondérante exigible en matière d’assurances sociales, que l’état de santé de la recourante s’est détérioré significativement avant le mois de mars 2009, en ce sens qu’il a alors été montré à satisfaction de droit que l’articulation sacro-iliaque droite présentait des érosions osseuses étendues qui entraînaient de nouvelles limitations, tandis que progressaient les lésions de l’articulation sacro-iliaque gauche. Au vu de ce qui précède, il apparaît qu’abstraction faite des conséquences de la maternité de la recourante, un changement notable des circonstances susceptibles d’influer sur le degré d’invalidité de celle-ci entre le mois d’août 2006 et le mois de février 2009 ne ressort pas clairement du dossier et ne pourrait guère être établi par d’autres mesures d’instruction. On ne doit en effet pas perdre de vue qu’aux dires de son médecin traitant, la recourante a effectué des démarches pour retrouver un emploi en 2008 et qu’au début du mois de janvier 2009, elle a renoncé aux mesures de placement proposées en faisant valoir, outre le manque de disponibilité dû aux soins exigés par ses jeunes enfants, des difficultés liées à son état de santé en tous points identiques à celles qu’elle décrivait auparavant. En conséquence, c’est à bon droit que l’OCAI a refusé l’augmentation de rente sollicitée par la recourante le 9 mars 2007. Cela étant, l’intimé a reconnu l’aggravation de l’état de santé constaté par le SMR et une nouvelle incapacité totale de travail à compter du mois de février 2009, pour une durée actuellement indéterminée. Il conviendra donc que l’OCAI se prononce formellement sur les conséquences de l’aggravation constatée, de sorte qu’il y a lieu de lui renvoyer la cause pour nouvelle décision au sens des considérations qui précèdent. 8. Enfin, la recourante n’ayant pas obtenu gain de cause, elle n’a pas droit au remboursement de ses frais et dépens (art. 61 let. g LPGA, a contrario).</w:t>
      </w:r>
    </w:p>
    <w:p>
      <w:r>
        <w:t>A/247/2009 - 13/14 - Pour le surplus, il sera renoncé à la perception, à sa charge, de l’émolument prévu par l’art. 69 al. 1bis LAI en considération du fait qu’elle a été mise au bénéfice de l’assistance judiciaire.</w:t>
      </w:r>
    </w:p>
    <w:p>
      <w:r>
        <w:t>A/247/2009 - 14/14 -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