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ATAS/878/2019 vom 26. September 2019</w:t>
      </w:r>
    </w:p>
    <w:p>
      <w:r>
        <w:t>GE Cour de justice, 2019-09-26, FR</w:t>
      </w:r>
    </w:p>
    <w:p>
      <w:r>
        <w:rPr>
          <w:b/>
        </w:rPr>
        <w:t xml:space="preserve">Quelle: </w:t>
      </w:r>
      <w:r>
        <w:t>https://mcp.opencaselaw.ch/entscheid/ge_gerichte_ATAS_878_2019</w:t>
      </w:r>
    </w:p>
    <w:p>
      <w:r>
        <w:t>FR: GE_GERICHTE ATAS/878/2019 du 26 septembre 2019</w:t>
      </w:r>
    </w:p>
    <w:p>
      <w:r>
        <w:t>IT: GE_GERICHTE ATAS/878/2019 del 26 settembre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Le recours a été interjeté dans les délai et forme prescrits par la loi (art. 56 ss LPGA), de sorte qu'il est recevable à la forme.</w:t>
      </w:r>
    </w:p>
    <w:p>
      <w:r>
        <w:t>A/1971/2019 - 4/5 - Au vu de ce qui suit, il appert toutefois que les conclusions ne sont pas recevables, la recourante demandant en réalité une remise de l'obligation de restituer la somme réclamée.</w:t>
      </w:r>
    </w:p>
    <w:p>
      <w:r>
        <w:rPr>
          <w:b/>
        </w:rPr>
        <w:t>E. 3</w:t>
      </w:r>
    </w:p>
    <w:p>
      <w:r>
        <w:t>La restitution ne peut être exigée lorsque l’intéressé était de bonne foi et qu’elle le mettrait dans une situation difficile (art. 25 al. 1 2ème phrase LPGA);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par ailleurs être présentée par écrit,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En effet, une remise de l'obligation de restituer n'a de sens que pour la personne tenue à restitution (arrêt du Tribunal fédéral 9C_211/2009 du 26 février 2010 consid. 3.1).</w:t>
      </w:r>
    </w:p>
    <w:p>
      <w:r>
        <w:rPr>
          <w:b/>
        </w:rPr>
        <w:t>E. 4</w:t>
      </w:r>
    </w:p>
    <w:p>
      <w:r>
        <w:t>La recourante demande en l’occurrence l’annulation de la décision sur opposition du 1er juillet 2019, au motif que le remboursement la placerait dans une situation financière difficile. Elle ne met donc pas en cause le bien-fondé de cette décision de restitution et réclame en réalité une remise de l’obligation de restituer ; La demande de remise devant être adressée à l’intimé, il appert que le recours est irrecevable. Dans la mesure où la somme réclamée à la recourante devra en principe être versée par la CAFNA à l’intimée, une demande de remise n’a cependant pas de raison d’être. Par conséquent, il n’y a pas lieu de renvoyer la cause à l’intimée pour statuer sur celle-ci.</w:t>
      </w:r>
    </w:p>
    <w:p>
      <w:r>
        <w:rPr>
          <w:b/>
        </w:rPr>
        <w:t>E. 5</w:t>
      </w:r>
    </w:p>
    <w:p>
      <w:r>
        <w:t>Au vu de ce qui précède, le recours sera déclaré irrecevable et la recourante invitée à mieux agir.</w:t>
      </w:r>
    </w:p>
    <w:p>
      <w:r>
        <w:rPr>
          <w:b/>
        </w:rPr>
        <w:t>E. 6</w:t>
      </w:r>
    </w:p>
    <w:p>
      <w:r>
        <w:t>La procédure est gratuite.</w:t>
      </w:r>
    </w:p>
    <w:p>
      <w:r>
        <w:t>***</w:t>
      </w:r>
    </w:p>
    <w:p>
      <w:r>
        <w:t>A/1971/2019 - 5/5 -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